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E76DB" w14:textId="77777777" w:rsidR="00DA601F" w:rsidRDefault="00974218">
      <w:pPr>
        <w:spacing w:before="81" w:line="278" w:lineRule="auto"/>
        <w:ind w:left="113" w:right="114"/>
        <w:jc w:val="both"/>
        <w:rPr>
          <w:i/>
          <w:sz w:val="24"/>
          <w:lang w:val="en-US"/>
        </w:rPr>
      </w:pPr>
      <w:r>
        <w:rPr>
          <w:i/>
          <w:color w:val="231916"/>
          <w:spacing w:val="4"/>
          <w:sz w:val="24"/>
          <w:lang w:val="en-US"/>
        </w:rPr>
        <w:t xml:space="preserve">Hong Kong </w:t>
      </w:r>
      <w:r>
        <w:rPr>
          <w:i/>
          <w:color w:val="231916"/>
          <w:spacing w:val="5"/>
          <w:sz w:val="24"/>
          <w:lang w:val="en-US"/>
        </w:rPr>
        <w:t xml:space="preserve">Exchanges </w:t>
      </w:r>
      <w:r>
        <w:rPr>
          <w:i/>
          <w:color w:val="231916"/>
          <w:spacing w:val="4"/>
          <w:sz w:val="24"/>
          <w:lang w:val="en-US"/>
        </w:rPr>
        <w:t xml:space="preserve">and </w:t>
      </w:r>
      <w:r>
        <w:rPr>
          <w:i/>
          <w:color w:val="231916"/>
          <w:spacing w:val="5"/>
          <w:sz w:val="24"/>
          <w:lang w:val="en-US"/>
        </w:rPr>
        <w:t xml:space="preserve">Clearing Limited </w:t>
      </w:r>
      <w:r>
        <w:rPr>
          <w:i/>
          <w:color w:val="231916"/>
          <w:spacing w:val="4"/>
          <w:sz w:val="24"/>
          <w:lang w:val="en-US"/>
        </w:rPr>
        <w:t xml:space="preserve">and The Stock </w:t>
      </w:r>
      <w:r>
        <w:rPr>
          <w:i/>
          <w:color w:val="231916"/>
          <w:spacing w:val="5"/>
          <w:sz w:val="24"/>
          <w:lang w:val="en-US"/>
        </w:rPr>
        <w:t xml:space="preserve">Exchange </w:t>
      </w:r>
      <w:r>
        <w:rPr>
          <w:i/>
          <w:color w:val="231916"/>
          <w:spacing w:val="3"/>
          <w:sz w:val="24"/>
          <w:lang w:val="en-US"/>
        </w:rPr>
        <w:t xml:space="preserve">of </w:t>
      </w:r>
      <w:r>
        <w:rPr>
          <w:i/>
          <w:color w:val="231916"/>
          <w:spacing w:val="4"/>
          <w:sz w:val="24"/>
          <w:lang w:val="en-US"/>
        </w:rPr>
        <w:t xml:space="preserve">Hong Kong </w:t>
      </w:r>
      <w:r>
        <w:rPr>
          <w:i/>
          <w:color w:val="231916"/>
          <w:spacing w:val="6"/>
          <w:sz w:val="24"/>
          <w:lang w:val="en-US"/>
        </w:rPr>
        <w:t xml:space="preserve">Limited take </w:t>
      </w:r>
      <w:r>
        <w:rPr>
          <w:i/>
          <w:color w:val="231916"/>
          <w:spacing w:val="4"/>
          <w:sz w:val="24"/>
          <w:lang w:val="en-US"/>
        </w:rPr>
        <w:t xml:space="preserve">no </w:t>
      </w:r>
      <w:r>
        <w:rPr>
          <w:i/>
          <w:color w:val="231916"/>
          <w:spacing w:val="8"/>
          <w:sz w:val="24"/>
          <w:lang w:val="en-US"/>
        </w:rPr>
        <w:t xml:space="preserve">responsibility </w:t>
      </w:r>
      <w:r>
        <w:rPr>
          <w:i/>
          <w:color w:val="231916"/>
          <w:spacing w:val="6"/>
          <w:sz w:val="24"/>
          <w:lang w:val="en-US"/>
        </w:rPr>
        <w:t xml:space="preserve">for the </w:t>
      </w:r>
      <w:r>
        <w:rPr>
          <w:i/>
          <w:color w:val="231916"/>
          <w:spacing w:val="7"/>
          <w:sz w:val="24"/>
          <w:lang w:val="en-US"/>
        </w:rPr>
        <w:t xml:space="preserve">contents </w:t>
      </w:r>
      <w:r>
        <w:rPr>
          <w:i/>
          <w:color w:val="231916"/>
          <w:spacing w:val="4"/>
          <w:sz w:val="24"/>
          <w:lang w:val="en-US"/>
        </w:rPr>
        <w:t xml:space="preserve">of </w:t>
      </w:r>
      <w:r>
        <w:rPr>
          <w:i/>
          <w:color w:val="231916"/>
          <w:spacing w:val="6"/>
          <w:sz w:val="24"/>
          <w:lang w:val="en-US"/>
        </w:rPr>
        <w:t xml:space="preserve">this </w:t>
      </w:r>
      <w:r>
        <w:rPr>
          <w:i/>
          <w:color w:val="231916"/>
          <w:spacing w:val="8"/>
          <w:sz w:val="24"/>
          <w:lang w:val="en-US"/>
        </w:rPr>
        <w:t xml:space="preserve">announcement, </w:t>
      </w:r>
      <w:r>
        <w:rPr>
          <w:i/>
          <w:color w:val="231916"/>
          <w:spacing w:val="6"/>
          <w:sz w:val="24"/>
          <w:lang w:val="en-US"/>
        </w:rPr>
        <w:t xml:space="preserve">make </w:t>
      </w:r>
      <w:r>
        <w:rPr>
          <w:i/>
          <w:color w:val="231916"/>
          <w:spacing w:val="4"/>
          <w:sz w:val="24"/>
          <w:lang w:val="en-US"/>
        </w:rPr>
        <w:t xml:space="preserve">no </w:t>
      </w:r>
      <w:r>
        <w:rPr>
          <w:i/>
          <w:color w:val="231916"/>
          <w:spacing w:val="8"/>
          <w:sz w:val="24"/>
          <w:lang w:val="en-US"/>
        </w:rPr>
        <w:t xml:space="preserve">representation </w:t>
      </w:r>
      <w:r>
        <w:rPr>
          <w:i/>
          <w:color w:val="231916"/>
          <w:spacing w:val="4"/>
          <w:sz w:val="24"/>
          <w:lang w:val="en-US"/>
        </w:rPr>
        <w:t xml:space="preserve">as </w:t>
      </w:r>
      <w:r>
        <w:rPr>
          <w:i/>
          <w:color w:val="231916"/>
          <w:spacing w:val="9"/>
          <w:sz w:val="24"/>
          <w:lang w:val="en-US"/>
        </w:rPr>
        <w:t xml:space="preserve">to </w:t>
      </w:r>
      <w:r>
        <w:rPr>
          <w:i/>
          <w:color w:val="231916"/>
          <w:spacing w:val="6"/>
          <w:sz w:val="24"/>
          <w:lang w:val="en-US"/>
        </w:rPr>
        <w:t xml:space="preserve">its </w:t>
      </w:r>
      <w:r>
        <w:rPr>
          <w:i/>
          <w:color w:val="231916"/>
          <w:spacing w:val="8"/>
          <w:sz w:val="24"/>
          <w:lang w:val="en-US"/>
        </w:rPr>
        <w:t xml:space="preserve">accuracy </w:t>
      </w:r>
      <w:r>
        <w:rPr>
          <w:i/>
          <w:color w:val="231916"/>
          <w:spacing w:val="5"/>
          <w:sz w:val="24"/>
          <w:lang w:val="en-US"/>
        </w:rPr>
        <w:t xml:space="preserve">or </w:t>
      </w:r>
      <w:r>
        <w:rPr>
          <w:i/>
          <w:color w:val="231916"/>
          <w:spacing w:val="9"/>
          <w:sz w:val="24"/>
          <w:lang w:val="en-US"/>
        </w:rPr>
        <w:t xml:space="preserve">completeness </w:t>
      </w:r>
      <w:r>
        <w:rPr>
          <w:i/>
          <w:color w:val="231916"/>
          <w:spacing w:val="6"/>
          <w:sz w:val="24"/>
          <w:lang w:val="en-US"/>
        </w:rPr>
        <w:t xml:space="preserve">and </w:t>
      </w:r>
      <w:r>
        <w:rPr>
          <w:i/>
          <w:color w:val="231916"/>
          <w:spacing w:val="8"/>
          <w:sz w:val="24"/>
          <w:lang w:val="en-US"/>
        </w:rPr>
        <w:t xml:space="preserve">expressly disclaim </w:t>
      </w:r>
      <w:r>
        <w:rPr>
          <w:i/>
          <w:color w:val="231916"/>
          <w:spacing w:val="6"/>
          <w:sz w:val="24"/>
          <w:lang w:val="en-US"/>
        </w:rPr>
        <w:t xml:space="preserve">any </w:t>
      </w:r>
      <w:r>
        <w:rPr>
          <w:i/>
          <w:color w:val="231916"/>
          <w:spacing w:val="8"/>
          <w:sz w:val="24"/>
          <w:lang w:val="en-US"/>
        </w:rPr>
        <w:t xml:space="preserve">liability </w:t>
      </w:r>
      <w:r>
        <w:rPr>
          <w:i/>
          <w:color w:val="231916"/>
          <w:spacing w:val="9"/>
          <w:sz w:val="24"/>
          <w:lang w:val="en-US"/>
        </w:rPr>
        <w:t xml:space="preserve">whatsoever </w:t>
      </w:r>
      <w:r>
        <w:rPr>
          <w:i/>
          <w:color w:val="231916"/>
          <w:spacing w:val="6"/>
          <w:sz w:val="24"/>
          <w:lang w:val="en-US"/>
        </w:rPr>
        <w:t xml:space="preserve">for any </w:t>
      </w:r>
      <w:r>
        <w:rPr>
          <w:i/>
          <w:color w:val="231916"/>
          <w:spacing w:val="10"/>
          <w:sz w:val="24"/>
          <w:lang w:val="en-US"/>
        </w:rPr>
        <w:t xml:space="preserve">loss </w:t>
      </w:r>
      <w:r>
        <w:rPr>
          <w:i/>
          <w:color w:val="231916"/>
          <w:spacing w:val="9"/>
          <w:sz w:val="24"/>
          <w:lang w:val="en-US"/>
        </w:rPr>
        <w:t xml:space="preserve">howsoever arising </w:t>
      </w:r>
      <w:r>
        <w:rPr>
          <w:i/>
          <w:color w:val="231916"/>
          <w:spacing w:val="8"/>
          <w:sz w:val="24"/>
          <w:lang w:val="en-US"/>
        </w:rPr>
        <w:t xml:space="preserve">from </w:t>
      </w:r>
      <w:r>
        <w:rPr>
          <w:i/>
          <w:color w:val="231916"/>
          <w:spacing w:val="5"/>
          <w:sz w:val="24"/>
          <w:lang w:val="en-US"/>
        </w:rPr>
        <w:t xml:space="preserve">or in </w:t>
      </w:r>
      <w:r>
        <w:rPr>
          <w:i/>
          <w:color w:val="231916"/>
          <w:spacing w:val="9"/>
          <w:sz w:val="24"/>
          <w:lang w:val="en-US"/>
        </w:rPr>
        <w:t xml:space="preserve">reliance </w:t>
      </w:r>
      <w:r>
        <w:rPr>
          <w:i/>
          <w:color w:val="231916"/>
          <w:spacing w:val="8"/>
          <w:sz w:val="24"/>
          <w:lang w:val="en-US"/>
        </w:rPr>
        <w:t xml:space="preserve">upon </w:t>
      </w:r>
      <w:r>
        <w:rPr>
          <w:i/>
          <w:color w:val="231916"/>
          <w:spacing w:val="7"/>
          <w:sz w:val="24"/>
          <w:lang w:val="en-US"/>
        </w:rPr>
        <w:t xml:space="preserve">the </w:t>
      </w:r>
      <w:r>
        <w:rPr>
          <w:i/>
          <w:color w:val="231916"/>
          <w:spacing w:val="8"/>
          <w:sz w:val="24"/>
          <w:lang w:val="en-US"/>
        </w:rPr>
        <w:t xml:space="preserve">whole </w:t>
      </w:r>
      <w:r>
        <w:rPr>
          <w:i/>
          <w:color w:val="231916"/>
          <w:spacing w:val="5"/>
          <w:sz w:val="24"/>
          <w:lang w:val="en-US"/>
        </w:rPr>
        <w:t xml:space="preserve">or </w:t>
      </w:r>
      <w:r>
        <w:rPr>
          <w:i/>
          <w:color w:val="231916"/>
          <w:spacing w:val="7"/>
          <w:sz w:val="24"/>
          <w:lang w:val="en-US"/>
        </w:rPr>
        <w:t xml:space="preserve">any </w:t>
      </w:r>
      <w:r>
        <w:rPr>
          <w:i/>
          <w:color w:val="231916"/>
          <w:spacing w:val="8"/>
          <w:sz w:val="24"/>
          <w:lang w:val="en-US"/>
        </w:rPr>
        <w:t xml:space="preserve">part </w:t>
      </w:r>
      <w:r>
        <w:rPr>
          <w:i/>
          <w:color w:val="231916"/>
          <w:spacing w:val="5"/>
          <w:sz w:val="24"/>
          <w:lang w:val="en-US"/>
        </w:rPr>
        <w:t xml:space="preserve">of </w:t>
      </w:r>
      <w:r>
        <w:rPr>
          <w:i/>
          <w:color w:val="231916"/>
          <w:spacing w:val="7"/>
          <w:sz w:val="24"/>
          <w:lang w:val="en-US"/>
        </w:rPr>
        <w:t xml:space="preserve">the </w:t>
      </w:r>
      <w:r>
        <w:rPr>
          <w:i/>
          <w:color w:val="231916"/>
          <w:spacing w:val="9"/>
          <w:sz w:val="24"/>
          <w:lang w:val="en-US"/>
        </w:rPr>
        <w:t xml:space="preserve">contents </w:t>
      </w:r>
      <w:r>
        <w:rPr>
          <w:i/>
          <w:color w:val="231916"/>
          <w:spacing w:val="5"/>
          <w:sz w:val="24"/>
          <w:lang w:val="en-US"/>
        </w:rPr>
        <w:t xml:space="preserve">of </w:t>
      </w:r>
      <w:r>
        <w:rPr>
          <w:i/>
          <w:color w:val="231916"/>
          <w:spacing w:val="11"/>
          <w:sz w:val="24"/>
          <w:lang w:val="en-US"/>
        </w:rPr>
        <w:t>this</w:t>
      </w:r>
      <w:r>
        <w:rPr>
          <w:i/>
          <w:color w:val="231916"/>
          <w:spacing w:val="82"/>
          <w:sz w:val="24"/>
          <w:lang w:val="en-US"/>
        </w:rPr>
        <w:t xml:space="preserve"> </w:t>
      </w:r>
      <w:r>
        <w:rPr>
          <w:i/>
          <w:color w:val="231916"/>
          <w:spacing w:val="6"/>
          <w:sz w:val="24"/>
          <w:lang w:val="en-US"/>
        </w:rPr>
        <w:t>announcement.</w:t>
      </w:r>
    </w:p>
    <w:p w14:paraId="115E76DC" w14:textId="77777777" w:rsidR="00DA601F" w:rsidRDefault="00DA601F">
      <w:pPr>
        <w:pStyle w:val="a3"/>
        <w:spacing w:before="2"/>
        <w:jc w:val="center"/>
        <w:rPr>
          <w:rFonts w:eastAsia="新細明體"/>
          <w:iCs/>
          <w:sz w:val="20"/>
          <w:lang w:val="en-US"/>
        </w:rPr>
      </w:pPr>
    </w:p>
    <w:p w14:paraId="115E76DD" w14:textId="77777777" w:rsidR="00DA601F" w:rsidRDefault="00974218">
      <w:pPr>
        <w:pStyle w:val="a3"/>
        <w:spacing w:before="2"/>
        <w:jc w:val="center"/>
        <w:rPr>
          <w:rFonts w:eastAsia="新細明體"/>
          <w:iCs/>
          <w:sz w:val="20"/>
          <w:lang w:val="en-US"/>
        </w:rPr>
      </w:pPr>
      <w:r>
        <w:rPr>
          <w:rFonts w:eastAsia="新細明體"/>
          <w:iCs/>
          <w:noProof/>
          <w:sz w:val="20"/>
          <w:lang w:val="en-US"/>
        </w:rPr>
        <w:drawing>
          <wp:inline distT="0" distB="0" distL="0" distR="0" wp14:anchorId="115E770A" wp14:editId="115E770B">
            <wp:extent cx="2606266" cy="1623201"/>
            <wp:effectExtent l="0" t="0" r="3810" b="0"/>
            <wp:docPr id="1026"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7" cstate="print"/>
                    <a:srcRect/>
                    <a:stretch/>
                  </pic:blipFill>
                  <pic:spPr>
                    <a:xfrm>
                      <a:off x="0" y="0"/>
                      <a:ext cx="2606266" cy="1623201"/>
                    </a:xfrm>
                    <a:prstGeom prst="rect">
                      <a:avLst/>
                    </a:prstGeom>
                  </pic:spPr>
                </pic:pic>
              </a:graphicData>
            </a:graphic>
          </wp:inline>
        </w:drawing>
      </w:r>
    </w:p>
    <w:p w14:paraId="115E76DE" w14:textId="77777777" w:rsidR="00DA601F" w:rsidRDefault="00DA601F">
      <w:pPr>
        <w:pStyle w:val="a3"/>
        <w:spacing w:before="7"/>
        <w:rPr>
          <w:i/>
          <w:sz w:val="5"/>
          <w:lang w:val="en-US"/>
        </w:rPr>
      </w:pPr>
    </w:p>
    <w:p w14:paraId="115E76DF" w14:textId="77777777" w:rsidR="00DA601F" w:rsidRDefault="00974218">
      <w:pPr>
        <w:spacing w:line="209" w:lineRule="exact"/>
        <w:ind w:left="427" w:right="444"/>
        <w:jc w:val="center"/>
        <w:rPr>
          <w:i/>
          <w:sz w:val="20"/>
          <w:lang w:val="en-US"/>
        </w:rPr>
      </w:pPr>
      <w:r>
        <w:rPr>
          <w:i/>
          <w:color w:val="231916"/>
          <w:sz w:val="20"/>
          <w:lang w:val="en-US"/>
        </w:rPr>
        <w:t>(incorporated in the Cayman Islands with limited liability)</w:t>
      </w:r>
    </w:p>
    <w:p w14:paraId="115E76E0" w14:textId="77777777" w:rsidR="00DA601F" w:rsidRDefault="00974218">
      <w:pPr>
        <w:pStyle w:val="2"/>
        <w:rPr>
          <w:lang w:val="en-US"/>
        </w:rPr>
      </w:pPr>
      <w:r>
        <w:rPr>
          <w:color w:val="231916"/>
          <w:lang w:val="en-US"/>
        </w:rPr>
        <w:t xml:space="preserve">(Stock Code: </w:t>
      </w:r>
      <w:r>
        <w:rPr>
          <w:rFonts w:eastAsia="新細明體" w:hint="eastAsia"/>
          <w:color w:val="231916"/>
          <w:lang w:val="en-US"/>
        </w:rPr>
        <w:t>1034</w:t>
      </w:r>
      <w:r>
        <w:rPr>
          <w:color w:val="231916"/>
          <w:lang w:val="en-US"/>
        </w:rPr>
        <w:t>)</w:t>
      </w:r>
    </w:p>
    <w:p w14:paraId="115E76E1" w14:textId="77777777" w:rsidR="00DA601F" w:rsidRPr="00F05481" w:rsidRDefault="00DA601F">
      <w:pPr>
        <w:pStyle w:val="a3"/>
        <w:rPr>
          <w:b/>
          <w:sz w:val="33"/>
          <w:lang w:val="en-US"/>
        </w:rPr>
      </w:pPr>
    </w:p>
    <w:p w14:paraId="115E76E2" w14:textId="51F7AEAA" w:rsidR="00DA601F" w:rsidRDefault="0001459D" w:rsidP="0001459D">
      <w:pPr>
        <w:pStyle w:val="a5"/>
        <w:ind w:right="-33"/>
        <w:jc w:val="center"/>
        <w:rPr>
          <w:b/>
          <w:color w:val="231916"/>
          <w:sz w:val="28"/>
          <w:lang w:val="en-US"/>
        </w:rPr>
      </w:pPr>
      <w:r>
        <w:rPr>
          <w:b/>
          <w:color w:val="231916"/>
          <w:sz w:val="28"/>
          <w:lang w:val="en-US"/>
        </w:rPr>
        <w:t>APPOINTMENT</w:t>
      </w:r>
      <w:r w:rsidR="0004489F">
        <w:rPr>
          <w:b/>
          <w:color w:val="231916"/>
          <w:sz w:val="28"/>
          <w:lang w:val="en-US"/>
        </w:rPr>
        <w:t xml:space="preserve"> </w:t>
      </w:r>
      <w:r w:rsidR="00D06383" w:rsidRPr="00D06383">
        <w:rPr>
          <w:b/>
          <w:color w:val="231916"/>
          <w:sz w:val="28"/>
          <w:lang w:val="en-US"/>
        </w:rPr>
        <w:t>OF AUDITOR</w:t>
      </w:r>
    </w:p>
    <w:p w14:paraId="115E76E4" w14:textId="77777777" w:rsidR="00DA601F" w:rsidRDefault="00DA601F">
      <w:pPr>
        <w:ind w:left="433" w:right="444"/>
        <w:jc w:val="center"/>
        <w:rPr>
          <w:b/>
          <w:sz w:val="30"/>
          <w:lang w:val="en-US"/>
        </w:rPr>
      </w:pPr>
    </w:p>
    <w:p w14:paraId="115E76E5" w14:textId="7FAE8C31" w:rsidR="00DA601F" w:rsidRDefault="005F66E4">
      <w:pPr>
        <w:pStyle w:val="a3"/>
        <w:spacing w:line="278" w:lineRule="auto"/>
        <w:ind w:left="113" w:right="119"/>
        <w:jc w:val="both"/>
        <w:rPr>
          <w:rFonts w:eastAsiaTheme="minorEastAsia"/>
          <w:color w:val="231916"/>
          <w:spacing w:val="9"/>
          <w:lang w:val="en-US"/>
        </w:rPr>
      </w:pPr>
      <w:r w:rsidRPr="005F66E4">
        <w:rPr>
          <w:rFonts w:eastAsiaTheme="minorEastAsia"/>
          <w:color w:val="231916"/>
          <w:spacing w:val="9"/>
          <w:lang w:val="en-US"/>
        </w:rPr>
        <w:t xml:space="preserve">This announcement is made by </w:t>
      </w:r>
      <w:r w:rsidR="00C75F90">
        <w:rPr>
          <w:rFonts w:eastAsiaTheme="minorEastAsia"/>
          <w:color w:val="231916"/>
          <w:spacing w:val="9"/>
          <w:lang w:val="en-US"/>
        </w:rPr>
        <w:t>Fullwealth International Group</w:t>
      </w:r>
      <w:r w:rsidRPr="005F66E4">
        <w:rPr>
          <w:rFonts w:eastAsiaTheme="minorEastAsia"/>
          <w:color w:val="231916"/>
          <w:spacing w:val="9"/>
          <w:lang w:val="en-US"/>
        </w:rPr>
        <w:t xml:space="preserve"> Holdings Limited (the “</w:t>
      </w:r>
      <w:r w:rsidRPr="00A31FE4">
        <w:rPr>
          <w:rFonts w:eastAsiaTheme="minorEastAsia"/>
          <w:b/>
          <w:bCs/>
          <w:color w:val="231916"/>
          <w:spacing w:val="9"/>
          <w:lang w:val="en-US"/>
        </w:rPr>
        <w:t>Company</w:t>
      </w:r>
      <w:r w:rsidRPr="005F66E4">
        <w:rPr>
          <w:rFonts w:eastAsiaTheme="minorEastAsia"/>
          <w:color w:val="231916"/>
          <w:spacing w:val="9"/>
          <w:lang w:val="en-US"/>
        </w:rPr>
        <w:t>”, together with its</w:t>
      </w:r>
      <w:r w:rsidR="00016DEC">
        <w:rPr>
          <w:rFonts w:eastAsiaTheme="minorEastAsia"/>
          <w:color w:val="231916"/>
          <w:spacing w:val="9"/>
          <w:lang w:val="en-US"/>
        </w:rPr>
        <w:t xml:space="preserve"> </w:t>
      </w:r>
      <w:r w:rsidRPr="005F66E4">
        <w:rPr>
          <w:rFonts w:eastAsiaTheme="minorEastAsia"/>
          <w:color w:val="231916"/>
          <w:spacing w:val="9"/>
          <w:lang w:val="en-US"/>
        </w:rPr>
        <w:t>subsidiaries, the “</w:t>
      </w:r>
      <w:r w:rsidRPr="00A31FE4">
        <w:rPr>
          <w:rFonts w:eastAsiaTheme="minorEastAsia"/>
          <w:b/>
          <w:bCs/>
          <w:color w:val="231916"/>
          <w:spacing w:val="9"/>
          <w:lang w:val="en-US"/>
        </w:rPr>
        <w:t>Group</w:t>
      </w:r>
      <w:r w:rsidRPr="005F66E4">
        <w:rPr>
          <w:rFonts w:eastAsiaTheme="minorEastAsia"/>
          <w:color w:val="231916"/>
          <w:spacing w:val="9"/>
          <w:lang w:val="en-US"/>
        </w:rPr>
        <w:t>”) pursuant to Rule 13.51(4) of the Rules Governing the</w:t>
      </w:r>
      <w:r w:rsidR="00016DEC">
        <w:rPr>
          <w:rFonts w:eastAsiaTheme="minorEastAsia"/>
          <w:color w:val="231916"/>
          <w:spacing w:val="9"/>
          <w:lang w:val="en-US"/>
        </w:rPr>
        <w:t xml:space="preserve"> </w:t>
      </w:r>
      <w:r w:rsidRPr="005F66E4">
        <w:rPr>
          <w:rFonts w:eastAsiaTheme="minorEastAsia"/>
          <w:color w:val="231916"/>
          <w:spacing w:val="9"/>
          <w:lang w:val="en-US"/>
        </w:rPr>
        <w:t>Listing of Securities (the “</w:t>
      </w:r>
      <w:r w:rsidRPr="00A31FE4">
        <w:rPr>
          <w:rFonts w:eastAsiaTheme="minorEastAsia"/>
          <w:b/>
          <w:bCs/>
          <w:color w:val="231916"/>
          <w:spacing w:val="9"/>
          <w:lang w:val="en-US"/>
        </w:rPr>
        <w:t>Listing Rules</w:t>
      </w:r>
      <w:r w:rsidRPr="005F66E4">
        <w:rPr>
          <w:rFonts w:eastAsiaTheme="minorEastAsia"/>
          <w:color w:val="231916"/>
          <w:spacing w:val="9"/>
          <w:lang w:val="en-US"/>
        </w:rPr>
        <w:t>”) on The Stock Exchange of Hong Kong Limited (the</w:t>
      </w:r>
      <w:r w:rsidRPr="005F66E4">
        <w:rPr>
          <w:rFonts w:eastAsiaTheme="minorEastAsia" w:hint="eastAsia"/>
          <w:color w:val="231916"/>
          <w:spacing w:val="9"/>
          <w:lang w:val="en-US"/>
        </w:rPr>
        <w:t>“</w:t>
      </w:r>
      <w:r w:rsidRPr="00A31FE4">
        <w:rPr>
          <w:rFonts w:eastAsiaTheme="minorEastAsia"/>
          <w:b/>
          <w:bCs/>
          <w:color w:val="231916"/>
          <w:spacing w:val="9"/>
          <w:lang w:val="en-US"/>
        </w:rPr>
        <w:t>Stock Exchange</w:t>
      </w:r>
      <w:r w:rsidRPr="005F66E4">
        <w:rPr>
          <w:rFonts w:eastAsiaTheme="minorEastAsia"/>
          <w:color w:val="231916"/>
          <w:spacing w:val="9"/>
          <w:lang w:val="en-US"/>
        </w:rPr>
        <w:t>”).</w:t>
      </w:r>
    </w:p>
    <w:p w14:paraId="2FFC6A85" w14:textId="77777777" w:rsidR="0001459D" w:rsidRDefault="0001459D">
      <w:pPr>
        <w:pStyle w:val="a3"/>
        <w:spacing w:line="278" w:lineRule="auto"/>
        <w:ind w:left="113" w:right="119"/>
        <w:jc w:val="both"/>
        <w:rPr>
          <w:rFonts w:eastAsiaTheme="minorEastAsia"/>
          <w:color w:val="231916"/>
          <w:spacing w:val="9"/>
          <w:lang w:val="en-US"/>
        </w:rPr>
      </w:pPr>
    </w:p>
    <w:p w14:paraId="6DD27818" w14:textId="662FF74B" w:rsidR="0001459D" w:rsidRPr="0001459D" w:rsidRDefault="0001459D" w:rsidP="0001459D">
      <w:pPr>
        <w:pStyle w:val="a3"/>
        <w:spacing w:line="278" w:lineRule="auto"/>
        <w:ind w:left="113" w:right="119"/>
        <w:jc w:val="both"/>
        <w:rPr>
          <w:lang w:val="en-HK"/>
        </w:rPr>
      </w:pPr>
      <w:r w:rsidRPr="0001459D">
        <w:rPr>
          <w:lang w:val="en-HK"/>
        </w:rPr>
        <w:t xml:space="preserve">Reference is made to the announcement of the Company dated </w:t>
      </w:r>
      <w:r>
        <w:rPr>
          <w:lang w:val="en-HK"/>
        </w:rPr>
        <w:t>19 June 2024</w:t>
      </w:r>
      <w:r w:rsidRPr="0001459D">
        <w:rPr>
          <w:lang w:val="en-HK"/>
        </w:rPr>
        <w:t xml:space="preserve"> in relation to, among other things, the </w:t>
      </w:r>
      <w:r>
        <w:rPr>
          <w:lang w:val="en-HK"/>
        </w:rPr>
        <w:t>resignation</w:t>
      </w:r>
      <w:r w:rsidRPr="0001459D">
        <w:rPr>
          <w:lang w:val="en-HK"/>
        </w:rPr>
        <w:t xml:space="preserve"> of Yongtuo Fuson</w:t>
      </w:r>
      <w:r>
        <w:rPr>
          <w:lang w:val="en-HK"/>
        </w:rPr>
        <w:t xml:space="preserve"> </w:t>
      </w:r>
      <w:r w:rsidRPr="0001459D">
        <w:rPr>
          <w:lang w:val="en-HK"/>
        </w:rPr>
        <w:t>CPA Limited (“</w:t>
      </w:r>
      <w:r w:rsidRPr="0001459D">
        <w:rPr>
          <w:b/>
          <w:bCs/>
          <w:lang w:val="en-HK"/>
        </w:rPr>
        <w:t>Yongtuo Fuson</w:t>
      </w:r>
      <w:r w:rsidRPr="0001459D">
        <w:rPr>
          <w:lang w:val="en-HK"/>
        </w:rPr>
        <w:t xml:space="preserve">”) as the </w:t>
      </w:r>
      <w:r>
        <w:rPr>
          <w:lang w:val="en-HK"/>
        </w:rPr>
        <w:t xml:space="preserve">auditors of the Group </w:t>
      </w:r>
      <w:r w:rsidRPr="0001459D">
        <w:rPr>
          <w:lang w:val="en-HK"/>
        </w:rPr>
        <w:t>(the “</w:t>
      </w:r>
      <w:r w:rsidRPr="0001459D">
        <w:rPr>
          <w:b/>
          <w:bCs/>
          <w:lang w:val="en-HK"/>
        </w:rPr>
        <w:t>Announcement</w:t>
      </w:r>
      <w:r w:rsidRPr="0001459D">
        <w:rPr>
          <w:lang w:val="en-HK"/>
        </w:rPr>
        <w:t>”). Unless the context requires otherwise, capitalised terms used herein shall have the same meanings as defined in the</w:t>
      </w:r>
      <w:r>
        <w:rPr>
          <w:lang w:val="en-HK"/>
        </w:rPr>
        <w:t xml:space="preserve"> Announcement.</w:t>
      </w:r>
    </w:p>
    <w:p w14:paraId="5F07405F" w14:textId="77777777" w:rsidR="00016DEC" w:rsidRDefault="00016DEC">
      <w:pPr>
        <w:pStyle w:val="a3"/>
        <w:spacing w:line="278" w:lineRule="auto"/>
        <w:ind w:left="113" w:right="119"/>
        <w:jc w:val="both"/>
        <w:rPr>
          <w:rFonts w:eastAsiaTheme="minorEastAsia"/>
          <w:color w:val="231916"/>
          <w:spacing w:val="9"/>
          <w:lang w:val="en-US"/>
        </w:rPr>
      </w:pPr>
    </w:p>
    <w:p w14:paraId="57A046B2" w14:textId="77777777" w:rsidR="0001459D" w:rsidRPr="0001459D" w:rsidRDefault="0001459D">
      <w:pPr>
        <w:pStyle w:val="a3"/>
        <w:spacing w:line="278" w:lineRule="auto"/>
        <w:ind w:left="113" w:right="119"/>
        <w:jc w:val="both"/>
        <w:rPr>
          <w:b/>
          <w:bCs/>
          <w:lang w:val="en-HK"/>
        </w:rPr>
      </w:pPr>
      <w:r w:rsidRPr="0001459D">
        <w:rPr>
          <w:b/>
          <w:bCs/>
          <w:lang w:val="en-HK"/>
        </w:rPr>
        <w:t xml:space="preserve">APPOINTMENT OF AUDITOR </w:t>
      </w:r>
    </w:p>
    <w:p w14:paraId="32EFF300" w14:textId="77777777" w:rsidR="0001459D" w:rsidRDefault="0001459D">
      <w:pPr>
        <w:pStyle w:val="a3"/>
        <w:spacing w:line="278" w:lineRule="auto"/>
        <w:ind w:left="113" w:right="119"/>
        <w:jc w:val="both"/>
        <w:rPr>
          <w:lang w:val="en-HK"/>
        </w:rPr>
      </w:pPr>
    </w:p>
    <w:p w14:paraId="0106848F" w14:textId="6D66E505" w:rsidR="000D7B9B" w:rsidRDefault="0001459D">
      <w:pPr>
        <w:pStyle w:val="a3"/>
        <w:spacing w:line="278" w:lineRule="auto"/>
        <w:ind w:left="113" w:right="119"/>
        <w:jc w:val="both"/>
        <w:rPr>
          <w:lang w:val="en-HK"/>
        </w:rPr>
      </w:pPr>
      <w:r w:rsidRPr="0001459D">
        <w:rPr>
          <w:lang w:val="en-HK"/>
        </w:rPr>
        <w:t>The Board hereby announces that, having considered the recommendation of the audit committee of the Company (the “</w:t>
      </w:r>
      <w:r w:rsidRPr="0001459D">
        <w:rPr>
          <w:b/>
          <w:bCs/>
          <w:lang w:val="en-HK"/>
        </w:rPr>
        <w:t>Audit Committee</w:t>
      </w:r>
      <w:r w:rsidRPr="0001459D">
        <w:rPr>
          <w:lang w:val="en-HK"/>
        </w:rPr>
        <w:t>”), it has resolved to appoint CL Partners CPA Limited (“</w:t>
      </w:r>
      <w:r w:rsidRPr="0001459D">
        <w:rPr>
          <w:b/>
          <w:bCs/>
          <w:lang w:val="en-HK"/>
        </w:rPr>
        <w:t>CL Partners</w:t>
      </w:r>
      <w:r w:rsidRPr="0001459D">
        <w:rPr>
          <w:lang w:val="en-HK"/>
        </w:rPr>
        <w:t xml:space="preserve">”) as the new auditor of the Company to fill the casual vacancy following the </w:t>
      </w:r>
      <w:r w:rsidR="000D7B9B">
        <w:rPr>
          <w:lang w:val="en-HK"/>
        </w:rPr>
        <w:t>resignation</w:t>
      </w:r>
      <w:r w:rsidRPr="0001459D">
        <w:rPr>
          <w:lang w:val="en-HK"/>
        </w:rPr>
        <w:t xml:space="preserve"> of </w:t>
      </w:r>
      <w:r w:rsidR="000D7B9B" w:rsidRPr="000D7B9B">
        <w:rPr>
          <w:lang w:val="en-HK"/>
        </w:rPr>
        <w:t>Yongtuo Fuson</w:t>
      </w:r>
      <w:r w:rsidRPr="0001459D">
        <w:rPr>
          <w:lang w:val="en-HK"/>
        </w:rPr>
        <w:t xml:space="preserve"> with effect from</w:t>
      </w:r>
      <w:r w:rsidR="000D7B9B">
        <w:rPr>
          <w:lang w:val="en-HK"/>
        </w:rPr>
        <w:t xml:space="preserve"> </w:t>
      </w:r>
      <w:r w:rsidR="00442E23" w:rsidRPr="00993F29">
        <w:rPr>
          <w:rFonts w:eastAsiaTheme="minorEastAsia" w:hint="eastAsia"/>
          <w:lang w:val="en-HK"/>
        </w:rPr>
        <w:t>2</w:t>
      </w:r>
      <w:r w:rsidR="00993F29" w:rsidRPr="00993F29">
        <w:rPr>
          <w:rFonts w:eastAsiaTheme="minorEastAsia" w:hint="eastAsia"/>
          <w:lang w:val="en-HK"/>
        </w:rPr>
        <w:t>5</w:t>
      </w:r>
      <w:r w:rsidRPr="00993F29">
        <w:rPr>
          <w:lang w:val="en-HK"/>
        </w:rPr>
        <w:t xml:space="preserve"> June 2024.</w:t>
      </w:r>
      <w:r w:rsidRPr="0001459D">
        <w:rPr>
          <w:lang w:val="en-HK"/>
        </w:rPr>
        <w:t xml:space="preserve"> </w:t>
      </w:r>
      <w:r w:rsidR="000D7B9B" w:rsidRPr="0001459D">
        <w:rPr>
          <w:lang w:val="en-HK"/>
        </w:rPr>
        <w:t>CL Partners</w:t>
      </w:r>
      <w:r w:rsidRPr="0001459D">
        <w:rPr>
          <w:lang w:val="en-HK"/>
        </w:rPr>
        <w:t xml:space="preserve"> shall hold office until the conclusion of the next annual general meeting of the Company. </w:t>
      </w:r>
    </w:p>
    <w:p w14:paraId="211D46B9" w14:textId="77777777" w:rsidR="000D7B9B" w:rsidRDefault="000D7B9B" w:rsidP="000D7B9B">
      <w:pPr>
        <w:pStyle w:val="a3"/>
        <w:spacing w:line="278" w:lineRule="auto"/>
        <w:ind w:left="113" w:right="-33"/>
        <w:jc w:val="both"/>
        <w:rPr>
          <w:lang w:val="en-HK"/>
        </w:rPr>
      </w:pPr>
    </w:p>
    <w:p w14:paraId="5469D61C" w14:textId="77777777" w:rsidR="00BD4ACA" w:rsidRDefault="00BD4ACA" w:rsidP="00BD4ACA">
      <w:pPr>
        <w:pStyle w:val="a3"/>
        <w:spacing w:line="278" w:lineRule="auto"/>
        <w:ind w:left="113" w:right="-33"/>
        <w:jc w:val="both"/>
        <w:rPr>
          <w:lang w:val="en-HK"/>
        </w:rPr>
      </w:pPr>
      <w:r w:rsidRPr="00BD4ACA">
        <w:rPr>
          <w:lang w:val="en-HK"/>
        </w:rPr>
        <w:t xml:space="preserve">The Audit Committee has considered a number of factors in assessing the appointment of </w:t>
      </w:r>
      <w:r w:rsidRPr="0001459D">
        <w:rPr>
          <w:lang w:val="en-HK"/>
        </w:rPr>
        <w:t>CL Partners</w:t>
      </w:r>
      <w:r w:rsidRPr="00BD4ACA">
        <w:rPr>
          <w:lang w:val="en-HK"/>
        </w:rPr>
        <w:t xml:space="preserve"> as the auditor, including but not limited to</w:t>
      </w:r>
      <w:r>
        <w:rPr>
          <w:lang w:val="en-HK"/>
        </w:rPr>
        <w:t xml:space="preserve">: </w:t>
      </w:r>
      <w:r w:rsidR="000D7B9B" w:rsidRPr="000D7B9B">
        <w:rPr>
          <w:lang w:val="en-HK"/>
        </w:rPr>
        <w:t>(</w:t>
      </w:r>
      <w:r>
        <w:rPr>
          <w:lang w:val="en-HK"/>
        </w:rPr>
        <w:t>i</w:t>
      </w:r>
      <w:r w:rsidR="000D7B9B" w:rsidRPr="000D7B9B">
        <w:rPr>
          <w:lang w:val="en-HK"/>
        </w:rPr>
        <w:t>) the</w:t>
      </w:r>
      <w:r>
        <w:rPr>
          <w:lang w:val="en-HK"/>
        </w:rPr>
        <w:t xml:space="preserve"> guidance stipulated under the</w:t>
      </w:r>
      <w:r w:rsidR="000D7B9B" w:rsidRPr="000D7B9B">
        <w:rPr>
          <w:lang w:val="en-HK"/>
        </w:rPr>
        <w:t xml:space="preserve"> “Guidelines for Effective Audit Committees – Selection, Appointment and Reappointment of Auditors” issued by the Accounting and Financial Reporting Council (the “</w:t>
      </w:r>
      <w:r w:rsidR="000D7B9B" w:rsidRPr="00BD4ACA">
        <w:rPr>
          <w:b/>
          <w:bCs/>
          <w:lang w:val="en-HK"/>
        </w:rPr>
        <w:t>AFRC</w:t>
      </w:r>
      <w:r w:rsidR="000D7B9B" w:rsidRPr="000D7B9B">
        <w:rPr>
          <w:lang w:val="en-HK"/>
        </w:rPr>
        <w:t>”), in particular</w:t>
      </w:r>
      <w:r>
        <w:rPr>
          <w:lang w:val="en-HK"/>
        </w:rPr>
        <w:t>,</w:t>
      </w:r>
      <w:r w:rsidR="000D7B9B" w:rsidRPr="000D7B9B">
        <w:rPr>
          <w:lang w:val="en-HK"/>
        </w:rPr>
        <w:t xml:space="preserve"> </w:t>
      </w:r>
      <w:r>
        <w:rPr>
          <w:lang w:val="en-HK"/>
        </w:rPr>
        <w:t>s</w:t>
      </w:r>
      <w:r w:rsidR="000D7B9B" w:rsidRPr="000D7B9B">
        <w:rPr>
          <w:lang w:val="en-HK"/>
        </w:rPr>
        <w:t>ection 2.2 regarding the evaluation of audit quality; (</w:t>
      </w:r>
      <w:r>
        <w:rPr>
          <w:lang w:val="en-HK"/>
        </w:rPr>
        <w:t>ii</w:t>
      </w:r>
      <w:r w:rsidR="000D7B9B" w:rsidRPr="000D7B9B">
        <w:rPr>
          <w:lang w:val="en-HK"/>
        </w:rPr>
        <w:t xml:space="preserve">) the AFRC’s Guidance Notes on Change of Auditors issued in September 2023, and has taken into account the relevant factors including the independence of </w:t>
      </w:r>
      <w:r w:rsidRPr="0001459D">
        <w:rPr>
          <w:lang w:val="en-HK"/>
        </w:rPr>
        <w:t>CL Partners</w:t>
      </w:r>
      <w:r w:rsidR="000D7B9B" w:rsidRPr="000D7B9B">
        <w:rPr>
          <w:lang w:val="en-HK"/>
        </w:rPr>
        <w:t xml:space="preserve"> from the Group and its objectivity and track record in performing audit work for other companies listed on the Stock Exchange, its service proposal (including scope of work, fee and timeline), resources (including manpower), capability (including team experience and expertise) and time commitment. </w:t>
      </w:r>
    </w:p>
    <w:p w14:paraId="0E53ED4A" w14:textId="77777777" w:rsidR="00BD4ACA" w:rsidRDefault="00BD4ACA" w:rsidP="00BD4ACA">
      <w:pPr>
        <w:pStyle w:val="a3"/>
        <w:spacing w:line="278" w:lineRule="auto"/>
        <w:ind w:left="113" w:right="-33"/>
        <w:jc w:val="both"/>
        <w:rPr>
          <w:lang w:val="en-HK"/>
        </w:rPr>
      </w:pPr>
    </w:p>
    <w:p w14:paraId="6287D739" w14:textId="691B815E" w:rsidR="00574A09" w:rsidRDefault="000D7B9B" w:rsidP="00BD4ACA">
      <w:pPr>
        <w:pStyle w:val="a3"/>
        <w:spacing w:line="278" w:lineRule="auto"/>
        <w:ind w:left="113" w:right="-33"/>
        <w:jc w:val="both"/>
        <w:rPr>
          <w:lang w:val="en-HK"/>
        </w:rPr>
      </w:pPr>
      <w:r w:rsidRPr="000D7B9B">
        <w:rPr>
          <w:lang w:val="en-HK"/>
        </w:rPr>
        <w:lastRenderedPageBreak/>
        <w:t xml:space="preserve">Before confirming the appointment of </w:t>
      </w:r>
      <w:r w:rsidR="00BD4ACA" w:rsidRPr="0001459D">
        <w:rPr>
          <w:lang w:val="en-HK"/>
        </w:rPr>
        <w:t>CL Partners</w:t>
      </w:r>
      <w:r w:rsidRPr="000D7B9B">
        <w:rPr>
          <w:lang w:val="en-HK"/>
        </w:rPr>
        <w:t xml:space="preserve">, the </w:t>
      </w:r>
      <w:r w:rsidR="00BD4ACA" w:rsidRPr="00BD4ACA">
        <w:rPr>
          <w:lang w:val="en-HK"/>
        </w:rPr>
        <w:t>Audit Committee</w:t>
      </w:r>
      <w:r w:rsidRPr="000D7B9B">
        <w:rPr>
          <w:lang w:val="en-HK"/>
        </w:rPr>
        <w:t xml:space="preserve"> </w:t>
      </w:r>
      <w:r w:rsidR="00BD4ACA">
        <w:rPr>
          <w:lang w:val="en-HK"/>
        </w:rPr>
        <w:t xml:space="preserve">has communicated </w:t>
      </w:r>
      <w:r w:rsidR="004611A2">
        <w:rPr>
          <w:lang w:val="en-HK"/>
        </w:rPr>
        <w:t xml:space="preserve">with </w:t>
      </w:r>
      <w:r w:rsidR="004611A2" w:rsidRPr="0001459D">
        <w:rPr>
          <w:lang w:val="en-HK"/>
        </w:rPr>
        <w:t>CL Partners</w:t>
      </w:r>
      <w:r w:rsidR="004611A2" w:rsidRPr="000D7B9B">
        <w:rPr>
          <w:lang w:val="en-HK"/>
        </w:rPr>
        <w:t xml:space="preserve"> </w:t>
      </w:r>
      <w:r w:rsidR="004611A2">
        <w:rPr>
          <w:lang w:val="en-HK"/>
        </w:rPr>
        <w:t xml:space="preserve">and is satisfied </w:t>
      </w:r>
      <w:r w:rsidR="004611A2" w:rsidRPr="0001459D">
        <w:rPr>
          <w:lang w:val="en-HK"/>
        </w:rPr>
        <w:t>CL Partners</w:t>
      </w:r>
      <w:r w:rsidR="004611A2" w:rsidRPr="000D7B9B">
        <w:rPr>
          <w:lang w:val="en-HK"/>
        </w:rPr>
        <w:t xml:space="preserve"> </w:t>
      </w:r>
      <w:r w:rsidR="004611A2">
        <w:rPr>
          <w:lang w:val="en-HK"/>
        </w:rPr>
        <w:t>understands</w:t>
      </w:r>
      <w:r w:rsidRPr="000D7B9B">
        <w:rPr>
          <w:lang w:val="en-HK"/>
        </w:rPr>
        <w:t xml:space="preserve"> the </w:t>
      </w:r>
      <w:r w:rsidR="00BD4ACA">
        <w:rPr>
          <w:lang w:val="en-HK"/>
        </w:rPr>
        <w:t xml:space="preserve">reasons leading to </w:t>
      </w:r>
      <w:r w:rsidR="00BD4ACA" w:rsidRPr="0001459D">
        <w:rPr>
          <w:lang w:val="en-HK"/>
        </w:rPr>
        <w:t>Yongtuo Fuson</w:t>
      </w:r>
      <w:r w:rsidR="00BD4ACA">
        <w:rPr>
          <w:lang w:val="en-HK"/>
        </w:rPr>
        <w:t>’s resignation</w:t>
      </w:r>
      <w:r w:rsidRPr="000D7B9B">
        <w:rPr>
          <w:lang w:val="en-HK"/>
        </w:rPr>
        <w:t xml:space="preserve"> and</w:t>
      </w:r>
      <w:r w:rsidR="00BD4ACA">
        <w:rPr>
          <w:lang w:val="en-HK"/>
        </w:rPr>
        <w:t xml:space="preserve"> </w:t>
      </w:r>
      <w:r w:rsidR="004611A2">
        <w:rPr>
          <w:lang w:val="en-HK"/>
        </w:rPr>
        <w:t>its</w:t>
      </w:r>
      <w:r w:rsidRPr="000D7B9B">
        <w:rPr>
          <w:lang w:val="en-HK"/>
        </w:rPr>
        <w:t xml:space="preserve"> audit plan is able to address the </w:t>
      </w:r>
      <w:r w:rsidR="004611A2">
        <w:rPr>
          <w:lang w:val="en-HK"/>
        </w:rPr>
        <w:t xml:space="preserve">audit issues </w:t>
      </w:r>
      <w:r w:rsidR="004611A2" w:rsidRPr="000D7B9B">
        <w:rPr>
          <w:lang w:val="en-HK"/>
        </w:rPr>
        <w:t xml:space="preserve">as </w:t>
      </w:r>
      <w:r w:rsidR="004611A2">
        <w:rPr>
          <w:lang w:val="en-HK"/>
        </w:rPr>
        <w:t>disclosed in the Announcement</w:t>
      </w:r>
      <w:r w:rsidRPr="000D7B9B">
        <w:rPr>
          <w:lang w:val="en-HK"/>
        </w:rPr>
        <w:t>.</w:t>
      </w:r>
      <w:r w:rsidR="00BD4ACA">
        <w:rPr>
          <w:lang w:val="en-HK"/>
        </w:rPr>
        <w:t xml:space="preserve"> </w:t>
      </w:r>
    </w:p>
    <w:p w14:paraId="318EB833" w14:textId="77777777" w:rsidR="000D7B9B" w:rsidRPr="00BD4ACA" w:rsidRDefault="000D7B9B" w:rsidP="000D7B9B">
      <w:pPr>
        <w:pStyle w:val="a3"/>
        <w:spacing w:line="278" w:lineRule="auto"/>
        <w:ind w:left="113" w:right="-33"/>
        <w:jc w:val="both"/>
        <w:rPr>
          <w:lang w:val="en-HK"/>
        </w:rPr>
      </w:pPr>
    </w:p>
    <w:p w14:paraId="2763AF2E" w14:textId="0D2220D5" w:rsidR="008C11F7" w:rsidRDefault="000D7B9B" w:rsidP="000D7B9B">
      <w:pPr>
        <w:pStyle w:val="a3"/>
        <w:spacing w:line="278" w:lineRule="auto"/>
        <w:ind w:left="113" w:right="-33"/>
        <w:jc w:val="both"/>
        <w:rPr>
          <w:lang w:val="en-HK"/>
        </w:rPr>
      </w:pPr>
      <w:r w:rsidRPr="000D7B9B">
        <w:rPr>
          <w:lang w:val="en-HK"/>
        </w:rPr>
        <w:t xml:space="preserve">On the basis of the foregoing and after careful consideration, the Board and the </w:t>
      </w:r>
      <w:r w:rsidR="008C11F7" w:rsidRPr="00BD4ACA">
        <w:rPr>
          <w:lang w:val="en-HK"/>
        </w:rPr>
        <w:t>Audit Committee</w:t>
      </w:r>
      <w:r w:rsidRPr="000D7B9B">
        <w:rPr>
          <w:lang w:val="en-HK"/>
        </w:rPr>
        <w:t xml:space="preserve"> are of the view that (</w:t>
      </w:r>
      <w:r w:rsidR="008C11F7">
        <w:rPr>
          <w:lang w:val="en-HK"/>
        </w:rPr>
        <w:t>a</w:t>
      </w:r>
      <w:r w:rsidRPr="000D7B9B">
        <w:rPr>
          <w:lang w:val="en-HK"/>
        </w:rPr>
        <w:t xml:space="preserve">) </w:t>
      </w:r>
      <w:r w:rsidR="008C11F7" w:rsidRPr="0001459D">
        <w:rPr>
          <w:lang w:val="en-HK"/>
        </w:rPr>
        <w:t>CL Partners</w:t>
      </w:r>
      <w:r w:rsidRPr="000D7B9B">
        <w:rPr>
          <w:lang w:val="en-HK"/>
        </w:rPr>
        <w:t xml:space="preserve"> is eligible and suitable to act as the new auditor of the </w:t>
      </w:r>
      <w:r w:rsidR="008C11F7">
        <w:rPr>
          <w:lang w:val="en-HK"/>
        </w:rPr>
        <w:t>Group</w:t>
      </w:r>
      <w:r w:rsidRPr="000D7B9B">
        <w:rPr>
          <w:lang w:val="en-HK"/>
        </w:rPr>
        <w:t>; (</w:t>
      </w:r>
      <w:r w:rsidR="00F80E9F">
        <w:rPr>
          <w:rFonts w:eastAsiaTheme="minorEastAsia" w:hint="eastAsia"/>
          <w:lang w:val="en-HK"/>
        </w:rPr>
        <w:t>b</w:t>
      </w:r>
      <w:r w:rsidRPr="000D7B9B">
        <w:rPr>
          <w:lang w:val="en-HK"/>
        </w:rPr>
        <w:t xml:space="preserve">) the audit fee agreed with </w:t>
      </w:r>
      <w:r w:rsidR="008C11F7" w:rsidRPr="0001459D">
        <w:rPr>
          <w:lang w:val="en-HK"/>
        </w:rPr>
        <w:t>CL Partners</w:t>
      </w:r>
      <w:r w:rsidRPr="000D7B9B">
        <w:rPr>
          <w:lang w:val="en-HK"/>
        </w:rPr>
        <w:t xml:space="preserve"> is commensurate with the extent of audit work required by the Group by reference to the size of the Group’s business operations and assets; and (</w:t>
      </w:r>
      <w:r w:rsidR="00F80E9F">
        <w:rPr>
          <w:rFonts w:eastAsiaTheme="minorEastAsia" w:hint="eastAsia"/>
          <w:lang w:val="en-HK"/>
        </w:rPr>
        <w:t>c</w:t>
      </w:r>
      <w:r w:rsidRPr="000D7B9B">
        <w:rPr>
          <w:lang w:val="en-HK"/>
        </w:rPr>
        <w:t xml:space="preserve">) the appointment of </w:t>
      </w:r>
      <w:r w:rsidR="008C11F7" w:rsidRPr="0001459D">
        <w:rPr>
          <w:lang w:val="en-HK"/>
        </w:rPr>
        <w:t>CL Partners</w:t>
      </w:r>
      <w:r w:rsidRPr="000D7B9B">
        <w:rPr>
          <w:lang w:val="en-HK"/>
        </w:rPr>
        <w:t xml:space="preserve"> is in the interest of the Company and its shareholders as a whole. </w:t>
      </w:r>
    </w:p>
    <w:p w14:paraId="71B2312A" w14:textId="77777777" w:rsidR="008C11F7" w:rsidRDefault="008C11F7" w:rsidP="000D7B9B">
      <w:pPr>
        <w:pStyle w:val="a3"/>
        <w:spacing w:line="278" w:lineRule="auto"/>
        <w:ind w:left="113" w:right="-33"/>
        <w:jc w:val="both"/>
        <w:rPr>
          <w:lang w:val="en-HK"/>
        </w:rPr>
      </w:pPr>
    </w:p>
    <w:p w14:paraId="6F958D64" w14:textId="74262576" w:rsidR="008C11F7" w:rsidRDefault="000D7B9B" w:rsidP="000D7B9B">
      <w:pPr>
        <w:pStyle w:val="a3"/>
        <w:spacing w:line="278" w:lineRule="auto"/>
        <w:ind w:left="113" w:right="-33"/>
        <w:jc w:val="both"/>
        <w:rPr>
          <w:lang w:val="en-HK"/>
        </w:rPr>
      </w:pPr>
      <w:r w:rsidRPr="001054CF">
        <w:rPr>
          <w:lang w:val="en-HK"/>
        </w:rPr>
        <w:t>The Company will continue to do its best to complete the audit procedures as soon as possible, but the expected date of the publication of the audited annual results of the Group for the year ended 31 December 2023 (the “</w:t>
      </w:r>
      <w:r w:rsidRPr="001054CF">
        <w:rPr>
          <w:b/>
          <w:bCs/>
          <w:lang w:val="en-HK"/>
        </w:rPr>
        <w:t>2023 Annual Results</w:t>
      </w:r>
      <w:r w:rsidRPr="001054CF">
        <w:rPr>
          <w:lang w:val="en-HK"/>
        </w:rPr>
        <w:t>”) can only be determined when the audit is closer to completion. Further announcement(s) will be made as and when appropriate as regards any material development in the audit process, including the date of the expected completion of audit and the expected date of publication of the 2023 Annual Results as and when appropriate.</w:t>
      </w:r>
      <w:r w:rsidRPr="000D7B9B">
        <w:rPr>
          <w:lang w:val="en-HK"/>
        </w:rPr>
        <w:t xml:space="preserve"> </w:t>
      </w:r>
    </w:p>
    <w:p w14:paraId="5097FDDA" w14:textId="77777777" w:rsidR="008C11F7" w:rsidRDefault="008C11F7" w:rsidP="000D7B9B">
      <w:pPr>
        <w:pStyle w:val="a3"/>
        <w:spacing w:line="278" w:lineRule="auto"/>
        <w:ind w:left="113" w:right="-33"/>
        <w:jc w:val="both"/>
        <w:rPr>
          <w:lang w:val="en-HK"/>
        </w:rPr>
      </w:pPr>
    </w:p>
    <w:p w14:paraId="0949FB4B" w14:textId="14470F51" w:rsidR="000D7B9B" w:rsidRDefault="000D7B9B" w:rsidP="000D7B9B">
      <w:pPr>
        <w:pStyle w:val="a3"/>
        <w:spacing w:line="278" w:lineRule="auto"/>
        <w:ind w:left="113" w:right="-33"/>
        <w:jc w:val="both"/>
        <w:rPr>
          <w:lang w:val="en-HK"/>
        </w:rPr>
      </w:pPr>
      <w:r w:rsidRPr="000D7B9B">
        <w:rPr>
          <w:lang w:val="en-HK"/>
        </w:rPr>
        <w:t xml:space="preserve">The Board expresses its warm welcome to </w:t>
      </w:r>
      <w:r w:rsidR="008C11F7" w:rsidRPr="0001459D">
        <w:rPr>
          <w:lang w:val="en-HK"/>
        </w:rPr>
        <w:t>CL Partners</w:t>
      </w:r>
      <w:r w:rsidRPr="000D7B9B">
        <w:rPr>
          <w:lang w:val="en-HK"/>
        </w:rPr>
        <w:t xml:space="preserve"> on its appointment as the auditor</w:t>
      </w:r>
      <w:r w:rsidR="008C11F7">
        <w:rPr>
          <w:lang w:val="en-HK"/>
        </w:rPr>
        <w:t xml:space="preserve"> of the Group</w:t>
      </w:r>
      <w:r w:rsidRPr="000D7B9B">
        <w:rPr>
          <w:lang w:val="en-HK"/>
        </w:rPr>
        <w:t>.</w:t>
      </w:r>
    </w:p>
    <w:p w14:paraId="1FE497C1" w14:textId="77777777" w:rsidR="000D7B9B" w:rsidRPr="000D7B9B" w:rsidRDefault="000D7B9B" w:rsidP="0001459D">
      <w:pPr>
        <w:pStyle w:val="a3"/>
        <w:spacing w:line="278" w:lineRule="auto"/>
        <w:ind w:right="119"/>
        <w:jc w:val="both"/>
        <w:rPr>
          <w:rFonts w:eastAsia="新細明體"/>
          <w:b/>
          <w:bCs/>
          <w:color w:val="231916"/>
          <w:lang w:val="en-HK"/>
        </w:rPr>
      </w:pPr>
    </w:p>
    <w:p w14:paraId="115E76EF" w14:textId="77777777" w:rsidR="00DA601F" w:rsidRDefault="00974218">
      <w:pPr>
        <w:pStyle w:val="a3"/>
        <w:spacing w:line="278" w:lineRule="auto"/>
        <w:ind w:left="113" w:right="-33"/>
        <w:jc w:val="both"/>
        <w:rPr>
          <w:b/>
          <w:bCs/>
          <w:lang w:val="en-HK"/>
        </w:rPr>
      </w:pPr>
      <w:r>
        <w:rPr>
          <w:b/>
          <w:bCs/>
          <w:lang w:val="en-HK"/>
        </w:rPr>
        <w:t xml:space="preserve">CONTINUED SUSPENSION OF TRADING </w:t>
      </w:r>
    </w:p>
    <w:p w14:paraId="115E76F0" w14:textId="77777777" w:rsidR="00DA601F" w:rsidRDefault="00DA601F">
      <w:pPr>
        <w:pStyle w:val="a3"/>
        <w:spacing w:line="278" w:lineRule="auto"/>
        <w:ind w:left="113" w:right="-33"/>
        <w:jc w:val="both"/>
        <w:rPr>
          <w:lang w:val="en-HK"/>
        </w:rPr>
      </w:pPr>
    </w:p>
    <w:p w14:paraId="115E76F1" w14:textId="77777777" w:rsidR="00DA601F" w:rsidRDefault="00974218">
      <w:pPr>
        <w:pStyle w:val="a3"/>
        <w:spacing w:line="278" w:lineRule="auto"/>
        <w:ind w:left="113" w:right="-33"/>
        <w:jc w:val="both"/>
        <w:rPr>
          <w:lang w:val="en-HK"/>
        </w:rPr>
      </w:pPr>
      <w:r>
        <w:rPr>
          <w:lang w:val="en-HK"/>
        </w:rPr>
        <w:t>At the request of the Company, trading in the shares of the Company on the Stock Exchange was halted with effect from 9:04 a.m. on 12 March 2024 until the publication of the announcement for the annual results of the Company and its subsidiaries for the year ended 31 December 2023.</w:t>
      </w:r>
    </w:p>
    <w:p w14:paraId="115E76F2" w14:textId="77777777" w:rsidR="00DA601F" w:rsidRDefault="00DA601F">
      <w:pPr>
        <w:pStyle w:val="a3"/>
        <w:spacing w:line="278" w:lineRule="auto"/>
        <w:ind w:left="113" w:right="-33"/>
        <w:jc w:val="both"/>
        <w:rPr>
          <w:rFonts w:eastAsia="新細明體"/>
          <w:b/>
          <w:bCs/>
          <w:color w:val="231916"/>
          <w:lang w:val="en-HK"/>
        </w:rPr>
      </w:pPr>
    </w:p>
    <w:p w14:paraId="115E76F3" w14:textId="77777777" w:rsidR="00DA601F" w:rsidRDefault="00974218">
      <w:pPr>
        <w:pStyle w:val="a3"/>
        <w:ind w:left="4253" w:right="-33"/>
        <w:jc w:val="center"/>
        <w:rPr>
          <w:lang w:val="en-US"/>
        </w:rPr>
      </w:pPr>
      <w:r>
        <w:rPr>
          <w:color w:val="231916"/>
          <w:lang w:val="en-US"/>
        </w:rPr>
        <w:t xml:space="preserve">By </w:t>
      </w:r>
      <w:r>
        <w:rPr>
          <w:rFonts w:eastAsia="新細明體" w:hint="eastAsia"/>
          <w:color w:val="231916"/>
          <w:lang w:val="en-US"/>
        </w:rPr>
        <w:t>o</w:t>
      </w:r>
      <w:r>
        <w:rPr>
          <w:color w:val="231916"/>
          <w:lang w:val="en-US"/>
        </w:rPr>
        <w:t>rder of the Board</w:t>
      </w:r>
    </w:p>
    <w:p w14:paraId="115E76F4" w14:textId="77777777" w:rsidR="00DA601F" w:rsidRDefault="00974218">
      <w:pPr>
        <w:pStyle w:val="2"/>
        <w:spacing w:before="44" w:line="278" w:lineRule="auto"/>
        <w:ind w:left="4253" w:right="-33"/>
        <w:rPr>
          <w:rFonts w:eastAsia="新細明體"/>
          <w:color w:val="231916"/>
          <w:lang w:val="en-US"/>
        </w:rPr>
      </w:pPr>
      <w:r>
        <w:rPr>
          <w:rFonts w:eastAsia="新細明體" w:hint="eastAsia"/>
          <w:color w:val="231916"/>
          <w:lang w:val="en-US"/>
        </w:rPr>
        <w:t>Fullwealth International Group Holdings Limited</w:t>
      </w:r>
    </w:p>
    <w:p w14:paraId="115E76F5" w14:textId="77777777" w:rsidR="00DA601F" w:rsidRDefault="00974218">
      <w:pPr>
        <w:pStyle w:val="2"/>
        <w:spacing w:before="44" w:line="278" w:lineRule="auto"/>
        <w:ind w:left="4253" w:right="-33"/>
        <w:rPr>
          <w:rFonts w:eastAsia="新細明體"/>
          <w:color w:val="231916"/>
          <w:lang w:val="en-US"/>
        </w:rPr>
      </w:pPr>
      <w:r>
        <w:rPr>
          <w:rFonts w:eastAsia="新細明體"/>
          <w:color w:val="231916"/>
          <w:lang w:val="en-US"/>
        </w:rPr>
        <w:t xml:space="preserve">Liu Xinyi </w:t>
      </w:r>
    </w:p>
    <w:p w14:paraId="115E76F6" w14:textId="77777777" w:rsidR="00DA601F" w:rsidRDefault="00974218">
      <w:pPr>
        <w:pStyle w:val="2"/>
        <w:spacing w:before="44" w:line="278" w:lineRule="auto"/>
        <w:ind w:left="4253" w:right="-33"/>
        <w:rPr>
          <w:rFonts w:eastAsia="新細明體"/>
          <w:b w:val="0"/>
          <w:bCs w:val="0"/>
          <w:i/>
          <w:iCs/>
          <w:color w:val="231916"/>
          <w:lang w:val="en-US"/>
        </w:rPr>
      </w:pPr>
      <w:r>
        <w:rPr>
          <w:rFonts w:eastAsia="新細明體"/>
          <w:b w:val="0"/>
          <w:bCs w:val="0"/>
          <w:i/>
          <w:iCs/>
          <w:color w:val="231916"/>
          <w:lang w:val="en-US"/>
        </w:rPr>
        <w:t>Executive Director and Chief Executive Officer</w:t>
      </w:r>
    </w:p>
    <w:p w14:paraId="115E76F7" w14:textId="77777777" w:rsidR="00DA601F" w:rsidRDefault="00DA601F">
      <w:pPr>
        <w:pStyle w:val="a3"/>
        <w:spacing w:before="1"/>
        <w:ind w:left="113"/>
        <w:jc w:val="both"/>
        <w:rPr>
          <w:rFonts w:eastAsia="新細明體"/>
          <w:color w:val="231916"/>
          <w:lang w:val="en-US"/>
        </w:rPr>
      </w:pPr>
    </w:p>
    <w:p w14:paraId="115E76F8" w14:textId="77777777" w:rsidR="00DA601F" w:rsidRDefault="00DA601F">
      <w:pPr>
        <w:pStyle w:val="a3"/>
        <w:spacing w:before="1"/>
        <w:ind w:left="113"/>
        <w:jc w:val="both"/>
        <w:rPr>
          <w:rFonts w:eastAsia="新細明體"/>
          <w:color w:val="231916"/>
          <w:lang w:val="en-US"/>
        </w:rPr>
      </w:pPr>
    </w:p>
    <w:p w14:paraId="115E76F9" w14:textId="65F89276" w:rsidR="00DA601F" w:rsidRDefault="00974218">
      <w:pPr>
        <w:pStyle w:val="a3"/>
        <w:spacing w:before="1"/>
        <w:ind w:left="113"/>
        <w:jc w:val="both"/>
        <w:rPr>
          <w:rFonts w:eastAsia="新細明體"/>
          <w:lang w:val="en-US"/>
        </w:rPr>
      </w:pPr>
      <w:r w:rsidRPr="00993F29">
        <w:rPr>
          <w:color w:val="231916"/>
          <w:lang w:val="en-US"/>
        </w:rPr>
        <w:t xml:space="preserve">Hong Kong, </w:t>
      </w:r>
      <w:r w:rsidR="00442E23" w:rsidRPr="00993F29">
        <w:rPr>
          <w:rFonts w:eastAsiaTheme="minorEastAsia" w:hint="eastAsia"/>
          <w:color w:val="231916"/>
          <w:lang w:val="en-US"/>
        </w:rPr>
        <w:t>25</w:t>
      </w:r>
      <w:r w:rsidR="00F6772B" w:rsidRPr="00993F29">
        <w:rPr>
          <w:rFonts w:eastAsia="新細明體"/>
          <w:color w:val="231916"/>
          <w:lang w:val="en-US"/>
        </w:rPr>
        <w:t xml:space="preserve"> </w:t>
      </w:r>
      <w:r w:rsidRPr="00993F29">
        <w:rPr>
          <w:rFonts w:eastAsia="新細明體" w:hint="eastAsia"/>
          <w:color w:val="231916"/>
          <w:lang w:val="en-US"/>
        </w:rPr>
        <w:t>Jun</w:t>
      </w:r>
      <w:r w:rsidR="00791225" w:rsidRPr="00993F29">
        <w:rPr>
          <w:rFonts w:eastAsia="新細明體" w:hint="eastAsia"/>
          <w:color w:val="231916"/>
          <w:lang w:val="en-US"/>
        </w:rPr>
        <w:t>e</w:t>
      </w:r>
      <w:r w:rsidRPr="00993F29">
        <w:rPr>
          <w:rFonts w:eastAsia="新細明體" w:hint="eastAsia"/>
          <w:color w:val="231916"/>
          <w:lang w:val="en-US"/>
        </w:rPr>
        <w:t xml:space="preserve"> 2024</w:t>
      </w:r>
    </w:p>
    <w:p w14:paraId="115E76FA" w14:textId="77777777" w:rsidR="00DA601F" w:rsidRDefault="00DA601F">
      <w:pPr>
        <w:pStyle w:val="a3"/>
        <w:spacing w:before="7"/>
        <w:rPr>
          <w:sz w:val="31"/>
          <w:lang w:val="en-US"/>
        </w:rPr>
      </w:pPr>
    </w:p>
    <w:p w14:paraId="115E76FB" w14:textId="77777777" w:rsidR="00DA601F" w:rsidRDefault="00974218">
      <w:pPr>
        <w:spacing w:line="278" w:lineRule="auto"/>
        <w:ind w:left="113" w:right="115"/>
        <w:jc w:val="both"/>
        <w:rPr>
          <w:rFonts w:eastAsia="新細明體"/>
          <w:i/>
          <w:color w:val="231916"/>
          <w:spacing w:val="12"/>
          <w:sz w:val="24"/>
          <w:lang w:val="en-US"/>
        </w:rPr>
      </w:pPr>
      <w:r>
        <w:rPr>
          <w:i/>
          <w:color w:val="231916"/>
          <w:spacing w:val="7"/>
          <w:sz w:val="24"/>
          <w:lang w:val="en-US"/>
        </w:rPr>
        <w:t xml:space="preserve">As at </w:t>
      </w:r>
      <w:r>
        <w:rPr>
          <w:i/>
          <w:color w:val="231916"/>
          <w:spacing w:val="9"/>
          <w:sz w:val="24"/>
          <w:lang w:val="en-US"/>
        </w:rPr>
        <w:t xml:space="preserve">the </w:t>
      </w:r>
      <w:r>
        <w:rPr>
          <w:i/>
          <w:color w:val="231916"/>
          <w:spacing w:val="10"/>
          <w:sz w:val="24"/>
          <w:lang w:val="en-US"/>
        </w:rPr>
        <w:t xml:space="preserve">date </w:t>
      </w:r>
      <w:r>
        <w:rPr>
          <w:i/>
          <w:color w:val="231916"/>
          <w:spacing w:val="7"/>
          <w:sz w:val="24"/>
          <w:lang w:val="en-US"/>
        </w:rPr>
        <w:t xml:space="preserve">of </w:t>
      </w:r>
      <w:r>
        <w:rPr>
          <w:i/>
          <w:color w:val="231916"/>
          <w:spacing w:val="10"/>
          <w:sz w:val="24"/>
          <w:lang w:val="en-US"/>
        </w:rPr>
        <w:t xml:space="preserve">this </w:t>
      </w:r>
      <w:r>
        <w:rPr>
          <w:i/>
          <w:color w:val="231916"/>
          <w:spacing w:val="12"/>
          <w:sz w:val="24"/>
          <w:lang w:val="en-US"/>
        </w:rPr>
        <w:t xml:space="preserve">announcement, </w:t>
      </w:r>
      <w:r>
        <w:rPr>
          <w:i/>
          <w:color w:val="231916"/>
          <w:spacing w:val="9"/>
          <w:sz w:val="24"/>
          <w:lang w:val="en-US"/>
        </w:rPr>
        <w:t xml:space="preserve">the </w:t>
      </w:r>
      <w:r>
        <w:rPr>
          <w:i/>
          <w:color w:val="231916"/>
          <w:spacing w:val="11"/>
          <w:sz w:val="24"/>
          <w:lang w:val="en-US"/>
        </w:rPr>
        <w:t xml:space="preserve">Board </w:t>
      </w:r>
      <w:r>
        <w:rPr>
          <w:i/>
          <w:color w:val="231916"/>
          <w:spacing w:val="12"/>
          <w:sz w:val="24"/>
          <w:lang w:val="en-US"/>
        </w:rPr>
        <w:t>comprises</w:t>
      </w:r>
      <w:r>
        <w:rPr>
          <w:rFonts w:eastAsia="新細明體" w:hint="eastAsia"/>
          <w:i/>
          <w:color w:val="231916"/>
          <w:spacing w:val="12"/>
          <w:sz w:val="24"/>
          <w:lang w:val="en-US"/>
        </w:rPr>
        <w:t>:</w:t>
      </w:r>
    </w:p>
    <w:p w14:paraId="115E76FC" w14:textId="77777777" w:rsidR="00DA601F" w:rsidRDefault="00DA601F">
      <w:pPr>
        <w:spacing w:line="278" w:lineRule="auto"/>
        <w:ind w:left="113" w:right="115"/>
        <w:jc w:val="both"/>
        <w:rPr>
          <w:rFonts w:eastAsia="新細明體"/>
          <w:sz w:val="24"/>
          <w:lang w:val="en-US"/>
        </w:rPr>
      </w:pPr>
    </w:p>
    <w:tbl>
      <w:tblPr>
        <w:tblStyle w:val="a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885"/>
      </w:tblGrid>
      <w:tr w:rsidR="00DA601F" w14:paraId="115E7700" w14:textId="77777777">
        <w:tc>
          <w:tcPr>
            <w:tcW w:w="4973" w:type="dxa"/>
          </w:tcPr>
          <w:p w14:paraId="115E76FD" w14:textId="77777777" w:rsidR="00DA601F" w:rsidRDefault="00974218">
            <w:pPr>
              <w:spacing w:line="278" w:lineRule="auto"/>
              <w:ind w:right="115"/>
              <w:jc w:val="both"/>
              <w:rPr>
                <w:rFonts w:eastAsia="新細明體"/>
                <w:i/>
                <w:color w:val="231916"/>
                <w:spacing w:val="9"/>
                <w:sz w:val="24"/>
                <w:lang w:val="en-US"/>
              </w:rPr>
            </w:pPr>
            <w:r>
              <w:rPr>
                <w:rFonts w:eastAsia="新細明體" w:hint="eastAsia"/>
                <w:i/>
                <w:color w:val="231916"/>
                <w:spacing w:val="9"/>
                <w:sz w:val="24"/>
                <w:lang w:val="en-US"/>
              </w:rPr>
              <w:t>Executive Directors:</w:t>
            </w:r>
          </w:p>
        </w:tc>
        <w:tc>
          <w:tcPr>
            <w:tcW w:w="4973" w:type="dxa"/>
          </w:tcPr>
          <w:p w14:paraId="115E76FE" w14:textId="77777777" w:rsidR="00DA601F" w:rsidRDefault="00974218">
            <w:pPr>
              <w:spacing w:line="278" w:lineRule="auto"/>
              <w:ind w:right="115"/>
              <w:jc w:val="both"/>
              <w:rPr>
                <w:rFonts w:eastAsia="新細明體"/>
                <w:i/>
                <w:color w:val="231916"/>
                <w:spacing w:val="9"/>
                <w:sz w:val="24"/>
                <w:lang w:val="en-US"/>
              </w:rPr>
            </w:pPr>
            <w:r>
              <w:rPr>
                <w:rFonts w:eastAsia="新細明體" w:hint="eastAsia"/>
                <w:iCs/>
                <w:color w:val="231916"/>
                <w:spacing w:val="9"/>
                <w:sz w:val="24"/>
                <w:lang w:val="en-US"/>
              </w:rPr>
              <w:t xml:space="preserve">Ms. Liu Xinyi </w:t>
            </w:r>
            <w:r>
              <w:rPr>
                <w:rFonts w:eastAsia="新細明體" w:hint="eastAsia"/>
                <w:i/>
                <w:color w:val="231916"/>
                <w:spacing w:val="9"/>
                <w:sz w:val="24"/>
                <w:lang w:val="en-US"/>
              </w:rPr>
              <w:t>(Chief Executive Officer)</w:t>
            </w:r>
          </w:p>
          <w:p w14:paraId="115E76FF" w14:textId="77777777" w:rsidR="00DA601F" w:rsidRDefault="00974218">
            <w:pPr>
              <w:spacing w:line="278" w:lineRule="auto"/>
              <w:ind w:right="115"/>
              <w:jc w:val="both"/>
              <w:rPr>
                <w:rFonts w:eastAsia="新細明體"/>
                <w:iCs/>
                <w:color w:val="231916"/>
                <w:spacing w:val="9"/>
                <w:sz w:val="24"/>
                <w:lang w:val="en-US"/>
              </w:rPr>
            </w:pPr>
            <w:r>
              <w:rPr>
                <w:rFonts w:eastAsia="新細明體" w:hint="eastAsia"/>
                <w:iCs/>
                <w:color w:val="231916"/>
                <w:spacing w:val="9"/>
                <w:sz w:val="24"/>
                <w:lang w:val="en-US"/>
              </w:rPr>
              <w:t>Ms. Qu Dongling</w:t>
            </w:r>
          </w:p>
        </w:tc>
      </w:tr>
      <w:tr w:rsidR="00DA601F" w14:paraId="115E7703" w14:textId="77777777">
        <w:tc>
          <w:tcPr>
            <w:tcW w:w="4973" w:type="dxa"/>
          </w:tcPr>
          <w:p w14:paraId="115E7701" w14:textId="77777777" w:rsidR="00DA601F" w:rsidRDefault="00DA601F">
            <w:pPr>
              <w:spacing w:line="278" w:lineRule="auto"/>
              <w:ind w:right="115"/>
              <w:jc w:val="both"/>
              <w:rPr>
                <w:rFonts w:eastAsia="新細明體"/>
                <w:i/>
                <w:color w:val="231916"/>
                <w:spacing w:val="9"/>
                <w:sz w:val="24"/>
                <w:lang w:val="en-US"/>
              </w:rPr>
            </w:pPr>
          </w:p>
        </w:tc>
        <w:tc>
          <w:tcPr>
            <w:tcW w:w="4973" w:type="dxa"/>
          </w:tcPr>
          <w:p w14:paraId="115E7702" w14:textId="77777777" w:rsidR="00DA601F" w:rsidRDefault="00DA601F">
            <w:pPr>
              <w:spacing w:line="278" w:lineRule="auto"/>
              <w:ind w:right="115"/>
              <w:jc w:val="both"/>
              <w:rPr>
                <w:rFonts w:eastAsia="新細明體"/>
                <w:i/>
                <w:color w:val="231916"/>
                <w:spacing w:val="9"/>
                <w:sz w:val="24"/>
                <w:lang w:val="en-US"/>
              </w:rPr>
            </w:pPr>
          </w:p>
        </w:tc>
      </w:tr>
      <w:tr w:rsidR="00DA601F" w14:paraId="115E7708" w14:textId="77777777">
        <w:tc>
          <w:tcPr>
            <w:tcW w:w="4973" w:type="dxa"/>
          </w:tcPr>
          <w:p w14:paraId="115E7704" w14:textId="77777777" w:rsidR="00DA601F" w:rsidRDefault="00974218">
            <w:pPr>
              <w:spacing w:line="278" w:lineRule="auto"/>
              <w:ind w:right="115"/>
              <w:jc w:val="both"/>
              <w:rPr>
                <w:rFonts w:eastAsia="新細明體"/>
                <w:i/>
                <w:color w:val="231916"/>
                <w:spacing w:val="9"/>
                <w:sz w:val="24"/>
                <w:lang w:val="en-US"/>
              </w:rPr>
            </w:pPr>
            <w:r>
              <w:rPr>
                <w:rFonts w:eastAsia="新細明體" w:hint="eastAsia"/>
                <w:i/>
                <w:color w:val="231916"/>
                <w:spacing w:val="9"/>
                <w:sz w:val="24"/>
                <w:lang w:val="en-US"/>
              </w:rPr>
              <w:t>Independent non-executive Directors:</w:t>
            </w:r>
          </w:p>
        </w:tc>
        <w:tc>
          <w:tcPr>
            <w:tcW w:w="4973" w:type="dxa"/>
          </w:tcPr>
          <w:p w14:paraId="115E7705" w14:textId="77777777" w:rsidR="00DA601F" w:rsidRDefault="00974218">
            <w:pPr>
              <w:spacing w:line="278" w:lineRule="auto"/>
              <w:ind w:right="115"/>
              <w:jc w:val="both"/>
              <w:rPr>
                <w:rFonts w:eastAsia="新細明體"/>
                <w:iCs/>
                <w:color w:val="231916"/>
                <w:spacing w:val="9"/>
                <w:sz w:val="24"/>
                <w:lang w:val="en-US"/>
              </w:rPr>
            </w:pPr>
            <w:r>
              <w:rPr>
                <w:rFonts w:eastAsia="新細明體" w:hint="eastAsia"/>
                <w:iCs/>
                <w:color w:val="231916"/>
                <w:spacing w:val="9"/>
                <w:sz w:val="24"/>
                <w:lang w:val="en-US"/>
              </w:rPr>
              <w:t>Mr. Yam Yuet Hang</w:t>
            </w:r>
          </w:p>
          <w:p w14:paraId="115E7706" w14:textId="77777777" w:rsidR="00DA601F" w:rsidRDefault="00974218">
            <w:pPr>
              <w:spacing w:line="278" w:lineRule="auto"/>
              <w:ind w:right="115"/>
              <w:jc w:val="both"/>
              <w:rPr>
                <w:rFonts w:eastAsia="新細明體"/>
                <w:iCs/>
                <w:color w:val="231916"/>
                <w:spacing w:val="9"/>
                <w:sz w:val="24"/>
                <w:lang w:val="en-US"/>
              </w:rPr>
            </w:pPr>
            <w:r>
              <w:rPr>
                <w:rFonts w:eastAsia="新細明體" w:hint="eastAsia"/>
                <w:iCs/>
                <w:color w:val="231916"/>
                <w:spacing w:val="9"/>
                <w:sz w:val="24"/>
                <w:lang w:val="en-US"/>
              </w:rPr>
              <w:t>Mr. Wang Huimin</w:t>
            </w:r>
          </w:p>
          <w:p w14:paraId="115E7707" w14:textId="77777777" w:rsidR="00DA601F" w:rsidRDefault="00974218">
            <w:pPr>
              <w:spacing w:line="278" w:lineRule="auto"/>
              <w:ind w:right="115"/>
              <w:jc w:val="both"/>
              <w:rPr>
                <w:rFonts w:eastAsia="新細明體"/>
                <w:iCs/>
                <w:color w:val="231916"/>
                <w:spacing w:val="9"/>
                <w:sz w:val="24"/>
                <w:lang w:val="en-US"/>
              </w:rPr>
            </w:pPr>
            <w:r>
              <w:rPr>
                <w:rFonts w:eastAsia="新細明體" w:hint="eastAsia"/>
                <w:iCs/>
                <w:color w:val="231916"/>
                <w:spacing w:val="9"/>
                <w:sz w:val="24"/>
                <w:lang w:val="en-US"/>
              </w:rPr>
              <w:t xml:space="preserve">Ms. Hui Sau Fan </w:t>
            </w:r>
          </w:p>
        </w:tc>
      </w:tr>
    </w:tbl>
    <w:p w14:paraId="115E7709" w14:textId="77777777" w:rsidR="00DA601F" w:rsidRDefault="00DA601F">
      <w:pPr>
        <w:spacing w:line="278" w:lineRule="auto"/>
        <w:ind w:left="113" w:right="115"/>
        <w:jc w:val="both"/>
        <w:rPr>
          <w:rFonts w:eastAsia="新細明體"/>
          <w:i/>
          <w:color w:val="231916"/>
          <w:spacing w:val="9"/>
          <w:sz w:val="24"/>
          <w:lang w:val="en-US"/>
        </w:rPr>
      </w:pPr>
    </w:p>
    <w:sectPr w:rsidR="00DA601F" w:rsidSect="00474084">
      <w:headerReference w:type="default" r:id="rId8"/>
      <w:footerReference w:type="default" r:id="rId9"/>
      <w:pgSz w:w="11910" w:h="16840"/>
      <w:pgMar w:top="1020" w:right="1000" w:bottom="580" w:left="1020" w:header="270" w:footer="3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3096E" w14:textId="77777777" w:rsidR="00822E3E" w:rsidRDefault="00822E3E">
      <w:r>
        <w:separator/>
      </w:r>
    </w:p>
  </w:endnote>
  <w:endnote w:type="continuationSeparator" w:id="0">
    <w:p w14:paraId="40083A01" w14:textId="77777777" w:rsidR="00822E3E" w:rsidRDefault="0082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54963"/>
      <w:docPartObj>
        <w:docPartGallery w:val="Page Numbers (Bottom of Page)"/>
        <w:docPartUnique/>
      </w:docPartObj>
    </w:sdtPr>
    <w:sdtContent>
      <w:p w14:paraId="56418E7A" w14:textId="7552E7C1" w:rsidR="00032CF8" w:rsidRDefault="00032CF8">
        <w:pPr>
          <w:pStyle w:val="a8"/>
          <w:jc w:val="center"/>
        </w:pPr>
        <w:r>
          <w:fldChar w:fldCharType="begin"/>
        </w:r>
        <w:r>
          <w:instrText>PAGE   \* MERGEFORMAT</w:instrText>
        </w:r>
        <w:r>
          <w:fldChar w:fldCharType="separate"/>
        </w:r>
        <w:r>
          <w:t>2</w:t>
        </w:r>
        <w:r>
          <w:fldChar w:fldCharType="end"/>
        </w:r>
      </w:p>
    </w:sdtContent>
  </w:sdt>
  <w:p w14:paraId="115E770E" w14:textId="77777777" w:rsidR="00DA601F" w:rsidRPr="00280963" w:rsidRDefault="00DA601F">
    <w:pPr>
      <w:pStyle w:val="a3"/>
      <w:spacing w:line="14" w:lineRule="auto"/>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DE549" w14:textId="77777777" w:rsidR="00822E3E" w:rsidRDefault="00822E3E">
      <w:r>
        <w:separator/>
      </w:r>
    </w:p>
  </w:footnote>
  <w:footnote w:type="continuationSeparator" w:id="0">
    <w:p w14:paraId="59695A2D" w14:textId="77777777" w:rsidR="00822E3E" w:rsidRDefault="0082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770C" w14:textId="77777777" w:rsidR="00DA601F" w:rsidRDefault="00DA601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49CB4F4"/>
    <w:lvl w:ilvl="0" w:tplc="266667E4">
      <w:start w:val="1"/>
      <w:numFmt w:val="lowerLetter"/>
      <w:lvlText w:val="(%1)"/>
      <w:lvlJc w:val="left"/>
      <w:pPr>
        <w:ind w:left="593" w:hanging="480"/>
      </w:pPr>
      <w:rPr>
        <w:rFonts w:hint="default"/>
        <w:b w:val="0"/>
        <w:bCs w:val="0"/>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15:restartNumberingAfterBreak="0">
    <w:nsid w:val="00000002"/>
    <w:multiLevelType w:val="hybridMultilevel"/>
    <w:tmpl w:val="49A4655C"/>
    <w:lvl w:ilvl="0" w:tplc="6A92CDEA">
      <w:start w:val="1"/>
      <w:numFmt w:val="decimal"/>
      <w:lvlText w:val="(%1)"/>
      <w:lvlJc w:val="left"/>
      <w:pPr>
        <w:ind w:left="793" w:hanging="360"/>
      </w:pPr>
      <w:rPr>
        <w:rFonts w:eastAsia="Times New Roman" w:hint="default"/>
      </w:rPr>
    </w:lvl>
    <w:lvl w:ilvl="1" w:tplc="04090019" w:tentative="1">
      <w:start w:val="1"/>
      <w:numFmt w:val="ideographTraditional"/>
      <w:lvlText w:val="%2、"/>
      <w:lvlJc w:val="left"/>
      <w:pPr>
        <w:ind w:left="1393" w:hanging="480"/>
      </w:pPr>
    </w:lvl>
    <w:lvl w:ilvl="2" w:tplc="0409001B" w:tentative="1">
      <w:start w:val="1"/>
      <w:numFmt w:val="lowerRoman"/>
      <w:lvlText w:val="%3."/>
      <w:lvlJc w:val="right"/>
      <w:pPr>
        <w:ind w:left="1873" w:hanging="480"/>
      </w:pPr>
    </w:lvl>
    <w:lvl w:ilvl="3" w:tplc="0409000F" w:tentative="1">
      <w:start w:val="1"/>
      <w:numFmt w:val="decimal"/>
      <w:lvlText w:val="%4."/>
      <w:lvlJc w:val="left"/>
      <w:pPr>
        <w:ind w:left="2353" w:hanging="480"/>
      </w:pPr>
    </w:lvl>
    <w:lvl w:ilvl="4" w:tplc="04090019" w:tentative="1">
      <w:start w:val="1"/>
      <w:numFmt w:val="ideographTraditional"/>
      <w:lvlText w:val="%5、"/>
      <w:lvlJc w:val="left"/>
      <w:pPr>
        <w:ind w:left="2833" w:hanging="480"/>
      </w:pPr>
    </w:lvl>
    <w:lvl w:ilvl="5" w:tplc="0409001B" w:tentative="1">
      <w:start w:val="1"/>
      <w:numFmt w:val="lowerRoman"/>
      <w:lvlText w:val="%6."/>
      <w:lvlJc w:val="right"/>
      <w:pPr>
        <w:ind w:left="3313" w:hanging="480"/>
      </w:pPr>
    </w:lvl>
    <w:lvl w:ilvl="6" w:tplc="0409000F" w:tentative="1">
      <w:start w:val="1"/>
      <w:numFmt w:val="decimal"/>
      <w:lvlText w:val="%7."/>
      <w:lvlJc w:val="left"/>
      <w:pPr>
        <w:ind w:left="3793" w:hanging="480"/>
      </w:pPr>
    </w:lvl>
    <w:lvl w:ilvl="7" w:tplc="04090019" w:tentative="1">
      <w:start w:val="1"/>
      <w:numFmt w:val="ideographTraditional"/>
      <w:lvlText w:val="%8、"/>
      <w:lvlJc w:val="left"/>
      <w:pPr>
        <w:ind w:left="4273" w:hanging="480"/>
      </w:pPr>
    </w:lvl>
    <w:lvl w:ilvl="8" w:tplc="0409001B" w:tentative="1">
      <w:start w:val="1"/>
      <w:numFmt w:val="lowerRoman"/>
      <w:lvlText w:val="%9."/>
      <w:lvlJc w:val="right"/>
      <w:pPr>
        <w:ind w:left="4753" w:hanging="480"/>
      </w:pPr>
    </w:lvl>
  </w:abstractNum>
  <w:abstractNum w:abstractNumId="2" w15:restartNumberingAfterBreak="0">
    <w:nsid w:val="00000003"/>
    <w:multiLevelType w:val="hybridMultilevel"/>
    <w:tmpl w:val="193A3716"/>
    <w:lvl w:ilvl="0" w:tplc="266667E4">
      <w:start w:val="1"/>
      <w:numFmt w:val="lowerLetter"/>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 w15:restartNumberingAfterBreak="0">
    <w:nsid w:val="00000004"/>
    <w:multiLevelType w:val="hybridMultilevel"/>
    <w:tmpl w:val="487ACC76"/>
    <w:lvl w:ilvl="0" w:tplc="584A7706">
      <w:start w:val="1"/>
      <w:numFmt w:val="decimal"/>
      <w:lvlText w:val="(%1)"/>
      <w:lvlJc w:val="left"/>
      <w:pPr>
        <w:ind w:left="473" w:hanging="360"/>
      </w:pPr>
      <w:rPr>
        <w:rFonts w:hint="default"/>
        <w:b/>
        <w:bC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15:restartNumberingAfterBreak="0">
    <w:nsid w:val="00000005"/>
    <w:multiLevelType w:val="hybridMultilevel"/>
    <w:tmpl w:val="6A50E1DA"/>
    <w:lvl w:ilvl="0" w:tplc="D3C60E1A">
      <w:start w:val="1"/>
      <w:numFmt w:val="upperRoman"/>
      <w:lvlText w:val="%1."/>
      <w:lvlJc w:val="left"/>
      <w:pPr>
        <w:ind w:left="833" w:hanging="720"/>
      </w:pPr>
      <w:rPr>
        <w:rFonts w:hint="default"/>
        <w:color w:val="231916"/>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15:restartNumberingAfterBreak="0">
    <w:nsid w:val="2CE92D3D"/>
    <w:multiLevelType w:val="hybridMultilevel"/>
    <w:tmpl w:val="0E58983E"/>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num w:numId="1" w16cid:durableId="1522157930">
    <w:abstractNumId w:val="5"/>
  </w:num>
  <w:num w:numId="2" w16cid:durableId="929586995">
    <w:abstractNumId w:val="0"/>
  </w:num>
  <w:num w:numId="3" w16cid:durableId="2075160244">
    <w:abstractNumId w:val="2"/>
  </w:num>
  <w:num w:numId="4" w16cid:durableId="787310447">
    <w:abstractNumId w:val="4"/>
  </w:num>
  <w:num w:numId="5" w16cid:durableId="871189196">
    <w:abstractNumId w:val="1"/>
  </w:num>
  <w:num w:numId="6" w16cid:durableId="1849371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1F"/>
    <w:rsid w:val="0001459D"/>
    <w:rsid w:val="00016DEC"/>
    <w:rsid w:val="00023712"/>
    <w:rsid w:val="00032CF8"/>
    <w:rsid w:val="00033D3B"/>
    <w:rsid w:val="0004489F"/>
    <w:rsid w:val="00054E18"/>
    <w:rsid w:val="0006471E"/>
    <w:rsid w:val="00065D06"/>
    <w:rsid w:val="000B589F"/>
    <w:rsid w:val="000D7B9B"/>
    <w:rsid w:val="000F7A30"/>
    <w:rsid w:val="001054CF"/>
    <w:rsid w:val="00183515"/>
    <w:rsid w:val="001C7AAB"/>
    <w:rsid w:val="001D1BF5"/>
    <w:rsid w:val="001E2474"/>
    <w:rsid w:val="00205A56"/>
    <w:rsid w:val="00221247"/>
    <w:rsid w:val="00227219"/>
    <w:rsid w:val="00234699"/>
    <w:rsid w:val="0025701C"/>
    <w:rsid w:val="00262568"/>
    <w:rsid w:val="00280963"/>
    <w:rsid w:val="0034413C"/>
    <w:rsid w:val="00350688"/>
    <w:rsid w:val="003839A6"/>
    <w:rsid w:val="003905AB"/>
    <w:rsid w:val="003C2E89"/>
    <w:rsid w:val="003C5E8E"/>
    <w:rsid w:val="003C605E"/>
    <w:rsid w:val="00412FCF"/>
    <w:rsid w:val="00421664"/>
    <w:rsid w:val="00442E23"/>
    <w:rsid w:val="00446E16"/>
    <w:rsid w:val="0044777B"/>
    <w:rsid w:val="004611A2"/>
    <w:rsid w:val="00471343"/>
    <w:rsid w:val="00474084"/>
    <w:rsid w:val="00496568"/>
    <w:rsid w:val="00496668"/>
    <w:rsid w:val="004A4B60"/>
    <w:rsid w:val="004E02D3"/>
    <w:rsid w:val="00574A09"/>
    <w:rsid w:val="005F5670"/>
    <w:rsid w:val="005F66E4"/>
    <w:rsid w:val="0063798D"/>
    <w:rsid w:val="00637B94"/>
    <w:rsid w:val="00640FFC"/>
    <w:rsid w:val="006802D7"/>
    <w:rsid w:val="006901BE"/>
    <w:rsid w:val="006D11FF"/>
    <w:rsid w:val="006D6612"/>
    <w:rsid w:val="00702112"/>
    <w:rsid w:val="007043EE"/>
    <w:rsid w:val="0075714A"/>
    <w:rsid w:val="00791225"/>
    <w:rsid w:val="007B00A7"/>
    <w:rsid w:val="007F727E"/>
    <w:rsid w:val="00801446"/>
    <w:rsid w:val="0080580C"/>
    <w:rsid w:val="00817048"/>
    <w:rsid w:val="00822E3E"/>
    <w:rsid w:val="0084582E"/>
    <w:rsid w:val="00866ABC"/>
    <w:rsid w:val="008767A3"/>
    <w:rsid w:val="00885D61"/>
    <w:rsid w:val="008A3489"/>
    <w:rsid w:val="008C11F7"/>
    <w:rsid w:val="008E3DD6"/>
    <w:rsid w:val="0096690F"/>
    <w:rsid w:val="00974218"/>
    <w:rsid w:val="00976817"/>
    <w:rsid w:val="00993F29"/>
    <w:rsid w:val="0099596C"/>
    <w:rsid w:val="009C3A3B"/>
    <w:rsid w:val="009D1CDD"/>
    <w:rsid w:val="00A26641"/>
    <w:rsid w:val="00A26CE6"/>
    <w:rsid w:val="00A31FE4"/>
    <w:rsid w:val="00A75A94"/>
    <w:rsid w:val="00A7798E"/>
    <w:rsid w:val="00AA563A"/>
    <w:rsid w:val="00AA5647"/>
    <w:rsid w:val="00AC5EAA"/>
    <w:rsid w:val="00AE2654"/>
    <w:rsid w:val="00B02D09"/>
    <w:rsid w:val="00B13FD8"/>
    <w:rsid w:val="00B81348"/>
    <w:rsid w:val="00BB37B8"/>
    <w:rsid w:val="00BD4ACA"/>
    <w:rsid w:val="00BF21FD"/>
    <w:rsid w:val="00C01B72"/>
    <w:rsid w:val="00C16B25"/>
    <w:rsid w:val="00C544C7"/>
    <w:rsid w:val="00C63EF7"/>
    <w:rsid w:val="00C75F90"/>
    <w:rsid w:val="00CC4685"/>
    <w:rsid w:val="00CD15FB"/>
    <w:rsid w:val="00CF7D3C"/>
    <w:rsid w:val="00D06383"/>
    <w:rsid w:val="00D1009E"/>
    <w:rsid w:val="00D21C80"/>
    <w:rsid w:val="00D21D4E"/>
    <w:rsid w:val="00D37681"/>
    <w:rsid w:val="00D54792"/>
    <w:rsid w:val="00D55C78"/>
    <w:rsid w:val="00DA601F"/>
    <w:rsid w:val="00DF0EAA"/>
    <w:rsid w:val="00DF6B66"/>
    <w:rsid w:val="00E23743"/>
    <w:rsid w:val="00E62E93"/>
    <w:rsid w:val="00E630E2"/>
    <w:rsid w:val="00E636B2"/>
    <w:rsid w:val="00EB5691"/>
    <w:rsid w:val="00EE15CF"/>
    <w:rsid w:val="00F05481"/>
    <w:rsid w:val="00F55B97"/>
    <w:rsid w:val="00F6772B"/>
    <w:rsid w:val="00F733DC"/>
    <w:rsid w:val="00F80E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E76DB"/>
  <w15:docId w15:val="{5C8F586B-CB39-4E9F-9BCD-D766A22A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zh-TW" w:eastAsia="zh-TW" w:bidi="zh-TW"/>
    </w:rPr>
  </w:style>
  <w:style w:type="paragraph" w:styleId="1">
    <w:name w:val="heading 1"/>
    <w:basedOn w:val="a"/>
    <w:uiPriority w:val="9"/>
    <w:qFormat/>
    <w:pPr>
      <w:spacing w:line="326" w:lineRule="exact"/>
      <w:ind w:left="425" w:right="444"/>
      <w:jc w:val="center"/>
      <w:outlineLvl w:val="0"/>
    </w:pPr>
    <w:rPr>
      <w:b/>
      <w:bCs/>
      <w:sz w:val="32"/>
      <w:szCs w:val="32"/>
    </w:rPr>
  </w:style>
  <w:style w:type="paragraph" w:styleId="2">
    <w:name w:val="heading 2"/>
    <w:basedOn w:val="a"/>
    <w:uiPriority w:val="9"/>
    <w:unhideWhenUsed/>
    <w:qFormat/>
    <w:pPr>
      <w:spacing w:before="20"/>
      <w:ind w:left="427" w:right="444"/>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spacing w:before="55"/>
      <w:ind w:left="531"/>
      <w:jc w:val="center"/>
    </w:pPr>
  </w:style>
  <w:style w:type="paragraph" w:styleId="a6">
    <w:name w:val="header"/>
    <w:basedOn w:val="a"/>
    <w:link w:val="a7"/>
    <w:uiPriority w:val="99"/>
    <w:pPr>
      <w:tabs>
        <w:tab w:val="center" w:pos="4153"/>
        <w:tab w:val="right" w:pos="8306"/>
      </w:tabs>
      <w:snapToGrid w:val="0"/>
    </w:pPr>
    <w:rPr>
      <w:sz w:val="20"/>
      <w:szCs w:val="20"/>
    </w:rPr>
  </w:style>
  <w:style w:type="character" w:customStyle="1" w:styleId="a7">
    <w:name w:val="頁首 字元"/>
    <w:basedOn w:val="a0"/>
    <w:link w:val="a6"/>
    <w:uiPriority w:val="99"/>
    <w:rPr>
      <w:rFonts w:ascii="Times New Roman" w:eastAsia="Times New Roman" w:hAnsi="Times New Roman" w:cs="Times New Roman"/>
      <w:sz w:val="20"/>
      <w:szCs w:val="20"/>
      <w:lang w:val="zh-TW" w:eastAsia="zh-TW" w:bidi="zh-TW"/>
    </w:rPr>
  </w:style>
  <w:style w:type="paragraph" w:styleId="a8">
    <w:name w:val="footer"/>
    <w:basedOn w:val="a"/>
    <w:link w:val="a9"/>
    <w:uiPriority w:val="99"/>
    <w:pPr>
      <w:tabs>
        <w:tab w:val="center" w:pos="4153"/>
        <w:tab w:val="right" w:pos="8306"/>
      </w:tabs>
      <w:snapToGrid w:val="0"/>
    </w:pPr>
    <w:rPr>
      <w:sz w:val="20"/>
      <w:szCs w:val="20"/>
    </w:rPr>
  </w:style>
  <w:style w:type="character" w:customStyle="1" w:styleId="a9">
    <w:name w:val="頁尾 字元"/>
    <w:basedOn w:val="a0"/>
    <w:link w:val="a8"/>
    <w:uiPriority w:val="99"/>
    <w:rPr>
      <w:rFonts w:ascii="Times New Roman" w:eastAsia="Times New Roman" w:hAnsi="Times New Roman" w:cs="Times New Roman"/>
      <w:sz w:val="20"/>
      <w:szCs w:val="20"/>
      <w:lang w:val="zh-TW" w:eastAsia="zh-TW" w:bidi="zh-TW"/>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uiPriority w:val="99"/>
    <w:pPr>
      <w:widowControl/>
      <w:autoSpaceDE/>
      <w:autoSpaceDN/>
    </w:pPr>
    <w:rPr>
      <w:rFonts w:ascii="Times New Roman" w:eastAsia="Times New Roman" w:hAnsi="Times New Roman" w:cs="Times New Roman"/>
      <w:lang w:val="zh-TW" w:eastAsia="zh-TW" w:bidi="zh-TW"/>
    </w:rPr>
  </w:style>
  <w:style w:type="character" w:customStyle="1" w:styleId="a4">
    <w:name w:val="本文 字元"/>
    <w:basedOn w:val="a0"/>
    <w:link w:val="a3"/>
    <w:uiPriority w:val="1"/>
    <w:rPr>
      <w:rFonts w:ascii="Times New Roman" w:eastAsia="Times New Roman" w:hAnsi="Times New Roman" w:cs="Times New Roman"/>
      <w:sz w:val="24"/>
      <w:szCs w:val="24"/>
      <w:lang w:val="zh-TW" w:eastAsia="zh-TW" w:bidi="zh-TW"/>
    </w:rPr>
  </w:style>
  <w:style w:type="paragraph" w:styleId="ac">
    <w:name w:val="Balloon Text"/>
    <w:basedOn w:val="a"/>
    <w:link w:val="ad"/>
    <w:uiPriority w:val="99"/>
    <w:semiHidden/>
    <w:unhideWhenUsed/>
    <w:rsid w:val="008A3489"/>
    <w:rPr>
      <w:rFonts w:ascii="Segoe UI" w:hAnsi="Segoe UI" w:cs="Segoe UI"/>
      <w:sz w:val="18"/>
      <w:szCs w:val="18"/>
    </w:rPr>
  </w:style>
  <w:style w:type="character" w:customStyle="1" w:styleId="ad">
    <w:name w:val="註解方塊文字 字元"/>
    <w:basedOn w:val="a0"/>
    <w:link w:val="ac"/>
    <w:uiPriority w:val="99"/>
    <w:semiHidden/>
    <w:rsid w:val="008A3489"/>
    <w:rPr>
      <w:rFonts w:ascii="Segoe UI" w:eastAsia="Times New Roman" w:hAnsi="Segoe UI" w:cs="Segoe U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Jeff Lee</cp:lastModifiedBy>
  <cp:revision>14</cp:revision>
  <dcterms:created xsi:type="dcterms:W3CDTF">2024-06-19T02:25:00Z</dcterms:created>
  <dcterms:modified xsi:type="dcterms:W3CDTF">2024-06-25T14:14:00Z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Adobe InDesign 16.4 (Windows)</vt:lpwstr>
  </property>
  <property fmtid="{D5CDD505-2E9C-101B-9397-08002B2CF9AE}" pid="4" name="LastSaved">
    <vt:filetime>2024-05-13T00:00:00Z</vt:filetime>
  </property>
  <property fmtid="{D5CDD505-2E9C-101B-9397-08002B2CF9AE}" pid="5" name="GrammarlyDocumentId">
    <vt:lpwstr>171e237bc4e73c326ab804ff15ce76dd3f49d79cf6588152c754e0cd92db8e92</vt:lpwstr>
  </property>
  <property fmtid="{D5CDD505-2E9C-101B-9397-08002B2CF9AE}" pid="6" name="ICV">
    <vt:lpwstr>950b00d407f14787983c6191edf5e720</vt:lpwstr>
  </property>
</Properties>
</file>