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E22E" w14:textId="77777777" w:rsidR="001C4109" w:rsidRDefault="001C4109" w:rsidP="001C4109">
      <w:pPr>
        <w:snapToGrid w:val="0"/>
        <w:jc w:val="both"/>
        <w:rPr>
          <w:i/>
          <w:sz w:val="20"/>
          <w:szCs w:val="20"/>
        </w:rPr>
      </w:pPr>
      <w:r>
        <w:rPr>
          <w:i/>
          <w:sz w:val="20"/>
          <w:szCs w:val="20"/>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6426E656" w14:textId="77777777" w:rsidR="00F13705" w:rsidRDefault="00F13705" w:rsidP="001C4109">
      <w:pPr>
        <w:snapToGrid w:val="0"/>
        <w:jc w:val="both"/>
        <w:rPr>
          <w:i/>
          <w:sz w:val="20"/>
          <w:szCs w:val="20"/>
        </w:rPr>
      </w:pPr>
    </w:p>
    <w:p w14:paraId="435F5319" w14:textId="7A29E1D2" w:rsidR="0099609D" w:rsidRDefault="001F422B" w:rsidP="00AD7AF3">
      <w:pPr>
        <w:jc w:val="center"/>
        <w:rPr>
          <w:b/>
          <w:sz w:val="36"/>
          <w:szCs w:val="36"/>
        </w:rPr>
      </w:pPr>
      <w:r>
        <w:rPr>
          <w:rFonts w:ascii="PMingLiU" w:eastAsia="PMingLiU" w:hAnsi="PMingLiU" w:hint="eastAsia"/>
          <w:i/>
          <w:noProof/>
          <w:kern w:val="0"/>
          <w:sz w:val="20"/>
          <w:szCs w:val="20"/>
        </w:rPr>
        <w:drawing>
          <wp:inline distT="0" distB="0" distL="0" distR="0" wp14:anchorId="0DD47080" wp14:editId="6F85C6D6">
            <wp:extent cx="195834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79120"/>
                    </a:xfrm>
                    <a:prstGeom prst="rect">
                      <a:avLst/>
                    </a:prstGeom>
                    <a:noFill/>
                    <a:ln>
                      <a:noFill/>
                    </a:ln>
                  </pic:spPr>
                </pic:pic>
              </a:graphicData>
            </a:graphic>
          </wp:inline>
        </w:drawing>
      </w:r>
    </w:p>
    <w:p w14:paraId="3B03C877" w14:textId="77777777" w:rsidR="00055FD5" w:rsidRDefault="00055FD5" w:rsidP="00055FD5">
      <w:pPr>
        <w:jc w:val="center"/>
        <w:rPr>
          <w:b/>
          <w:sz w:val="36"/>
          <w:szCs w:val="36"/>
        </w:rPr>
      </w:pPr>
      <w:bookmarkStart w:id="0" w:name="_Hlk29388182"/>
      <w:r w:rsidRPr="00E16369">
        <w:rPr>
          <w:b/>
          <w:sz w:val="36"/>
          <w:szCs w:val="36"/>
        </w:rPr>
        <w:t xml:space="preserve">China </w:t>
      </w:r>
      <w:proofErr w:type="spellStart"/>
      <w:r w:rsidRPr="00E16369">
        <w:rPr>
          <w:b/>
          <w:sz w:val="36"/>
          <w:szCs w:val="36"/>
        </w:rPr>
        <w:t>Hongguang</w:t>
      </w:r>
      <w:proofErr w:type="spellEnd"/>
      <w:r w:rsidRPr="00E16369">
        <w:rPr>
          <w:b/>
          <w:sz w:val="36"/>
          <w:szCs w:val="36"/>
        </w:rPr>
        <w:t xml:space="preserve"> Holdings Limited</w:t>
      </w:r>
    </w:p>
    <w:p w14:paraId="1B2E43AA" w14:textId="77777777" w:rsidR="00055FD5" w:rsidRDefault="00055FD5" w:rsidP="00EE64CE">
      <w:pPr>
        <w:spacing w:line="320" w:lineRule="exact"/>
        <w:jc w:val="center"/>
        <w:rPr>
          <w:rFonts w:ascii="PMingLiU" w:eastAsia="PMingLiU" w:hAnsi="PMingLiU" w:cs="Times-Bold"/>
          <w:b/>
          <w:bCs/>
          <w:kern w:val="0"/>
          <w:sz w:val="32"/>
          <w:szCs w:val="32"/>
        </w:rPr>
      </w:pPr>
      <w:bookmarkStart w:id="1" w:name="_Hlk29386609"/>
      <w:bookmarkEnd w:id="0"/>
      <w:r w:rsidRPr="00E16369">
        <w:rPr>
          <w:rFonts w:ascii="PMingLiU" w:eastAsia="PMingLiU" w:hAnsi="PMingLiU" w:cs="Times-Bold" w:hint="eastAsia"/>
          <w:b/>
          <w:bCs/>
          <w:kern w:val="0"/>
          <w:sz w:val="32"/>
          <w:szCs w:val="32"/>
        </w:rPr>
        <w:t>中國宏光</w:t>
      </w:r>
      <w:bookmarkStart w:id="2" w:name="_Hlk29386616"/>
      <w:bookmarkEnd w:id="1"/>
      <w:r w:rsidRPr="00E16369">
        <w:rPr>
          <w:rFonts w:ascii="PMingLiU" w:eastAsia="PMingLiU" w:hAnsi="PMingLiU" w:cs="Times-Bold" w:hint="eastAsia"/>
          <w:b/>
          <w:bCs/>
          <w:kern w:val="0"/>
          <w:sz w:val="32"/>
          <w:szCs w:val="32"/>
        </w:rPr>
        <w:t>控股</w:t>
      </w:r>
      <w:bookmarkEnd w:id="2"/>
      <w:r w:rsidRPr="00E16369">
        <w:rPr>
          <w:rFonts w:ascii="PMingLiU" w:eastAsia="PMingLiU" w:hAnsi="PMingLiU" w:cs="Times-Bold" w:hint="eastAsia"/>
          <w:b/>
          <w:bCs/>
          <w:kern w:val="0"/>
          <w:sz w:val="32"/>
          <w:szCs w:val="32"/>
        </w:rPr>
        <w:t>有限公司</w:t>
      </w:r>
    </w:p>
    <w:p w14:paraId="58E6A0B5" w14:textId="77777777" w:rsidR="00A0070A" w:rsidRPr="001818D9" w:rsidRDefault="00956845" w:rsidP="00A0070A">
      <w:pPr>
        <w:jc w:val="center"/>
        <w:rPr>
          <w:i/>
          <w:iCs/>
          <w:kern w:val="0"/>
          <w:szCs w:val="24"/>
        </w:rPr>
      </w:pPr>
      <w:r w:rsidRPr="001818D9">
        <w:rPr>
          <w:i/>
          <w:iCs/>
          <w:kern w:val="0"/>
          <w:szCs w:val="24"/>
        </w:rPr>
        <w:t xml:space="preserve"> </w:t>
      </w:r>
      <w:r w:rsidR="00A0070A" w:rsidRPr="001818D9">
        <w:rPr>
          <w:i/>
          <w:iCs/>
          <w:kern w:val="0"/>
          <w:szCs w:val="24"/>
        </w:rPr>
        <w:t>(Incorporated in the Cayman Islands with limited liability)</w:t>
      </w:r>
    </w:p>
    <w:p w14:paraId="22B01254" w14:textId="77777777" w:rsidR="00A0070A" w:rsidRPr="001818D9" w:rsidRDefault="00A0070A" w:rsidP="00A0070A">
      <w:pPr>
        <w:jc w:val="center"/>
        <w:rPr>
          <w:b/>
          <w:iCs/>
          <w:kern w:val="0"/>
          <w:szCs w:val="24"/>
        </w:rPr>
      </w:pPr>
      <w:r w:rsidRPr="001818D9">
        <w:rPr>
          <w:b/>
          <w:iCs/>
          <w:kern w:val="0"/>
          <w:szCs w:val="24"/>
        </w:rPr>
        <w:t xml:space="preserve">(Stock </w:t>
      </w:r>
      <w:r w:rsidR="00F60E91">
        <w:rPr>
          <w:b/>
          <w:iCs/>
          <w:kern w:val="0"/>
          <w:szCs w:val="24"/>
        </w:rPr>
        <w:t>C</w:t>
      </w:r>
      <w:r w:rsidRPr="001818D9">
        <w:rPr>
          <w:b/>
          <w:iCs/>
          <w:kern w:val="0"/>
          <w:szCs w:val="24"/>
        </w:rPr>
        <w:t>ode:</w:t>
      </w:r>
      <w:r w:rsidR="007818F7">
        <w:rPr>
          <w:rFonts w:eastAsia="SimSun" w:hint="eastAsia"/>
          <w:b/>
          <w:iCs/>
          <w:kern w:val="0"/>
          <w:szCs w:val="24"/>
          <w:lang w:eastAsia="zh-CN"/>
        </w:rPr>
        <w:t xml:space="preserve"> </w:t>
      </w:r>
      <w:r w:rsidR="0025210B">
        <w:rPr>
          <w:rFonts w:eastAsia="PMingLiU" w:hint="eastAsia"/>
          <w:b/>
          <w:iCs/>
          <w:kern w:val="0"/>
          <w:szCs w:val="24"/>
        </w:rPr>
        <w:t>8</w:t>
      </w:r>
      <w:r w:rsidR="00055FD5">
        <w:rPr>
          <w:rFonts w:eastAsia="PMingLiU"/>
          <w:b/>
          <w:iCs/>
          <w:kern w:val="0"/>
          <w:szCs w:val="24"/>
        </w:rPr>
        <w:t>646</w:t>
      </w:r>
      <w:r w:rsidRPr="001818D9">
        <w:rPr>
          <w:b/>
          <w:iCs/>
          <w:kern w:val="0"/>
          <w:szCs w:val="24"/>
        </w:rPr>
        <w:t>)</w:t>
      </w:r>
    </w:p>
    <w:p w14:paraId="57BBDA6F" w14:textId="77777777" w:rsidR="00A0070A" w:rsidRPr="001818D9" w:rsidRDefault="00A0070A" w:rsidP="00A0070A">
      <w:pPr>
        <w:jc w:val="center"/>
        <w:rPr>
          <w:iCs/>
          <w:kern w:val="0"/>
          <w:szCs w:val="24"/>
        </w:rPr>
      </w:pPr>
    </w:p>
    <w:p w14:paraId="5CB7BDD2" w14:textId="77777777" w:rsidR="00A0070A" w:rsidRPr="001D5FBD" w:rsidRDefault="00FC6317" w:rsidP="00A0070A">
      <w:pPr>
        <w:tabs>
          <w:tab w:val="left" w:pos="6611"/>
        </w:tabs>
        <w:jc w:val="center"/>
        <w:rPr>
          <w:b/>
          <w:bCs/>
          <w:kern w:val="0"/>
          <w:sz w:val="28"/>
          <w:szCs w:val="28"/>
        </w:rPr>
      </w:pPr>
      <w:r w:rsidRPr="00CB4AEE">
        <w:rPr>
          <w:b/>
          <w:bCs/>
          <w:kern w:val="0"/>
          <w:sz w:val="28"/>
          <w:szCs w:val="28"/>
        </w:rPr>
        <w:t>VOLUNTARY ANNOUNCEMENT REGARDING PUBLICATION OF QUARTERLY FINANCIAL RESULTS AND REPORTS</w:t>
      </w:r>
      <w:r w:rsidR="00A0070A" w:rsidRPr="001D5FBD">
        <w:rPr>
          <w:b/>
          <w:bCs/>
          <w:kern w:val="0"/>
          <w:sz w:val="28"/>
          <w:szCs w:val="28"/>
        </w:rPr>
        <w:t xml:space="preserve"> </w:t>
      </w:r>
    </w:p>
    <w:p w14:paraId="0FFA17E7" w14:textId="77777777" w:rsidR="00A0070A" w:rsidRDefault="00A0070A">
      <w:pPr>
        <w:rPr>
          <w:rFonts w:eastAsia="DengXian"/>
          <w:sz w:val="28"/>
          <w:szCs w:val="28"/>
          <w:lang w:eastAsia="zh-CN"/>
        </w:rPr>
      </w:pPr>
    </w:p>
    <w:p w14:paraId="0873C101" w14:textId="77777777" w:rsidR="00FC6317" w:rsidRDefault="00FC6317" w:rsidP="00FC6317">
      <w:pPr>
        <w:jc w:val="both"/>
      </w:pPr>
      <w:r w:rsidRPr="007D5493">
        <w:t xml:space="preserve">This announcement is made by </w:t>
      </w:r>
      <w:r w:rsidRPr="00055FD5">
        <w:rPr>
          <w:szCs w:val="24"/>
          <w:lang w:eastAsia="zh-HK"/>
        </w:rPr>
        <w:t xml:space="preserve">China </w:t>
      </w:r>
      <w:proofErr w:type="spellStart"/>
      <w:r w:rsidRPr="00055FD5">
        <w:rPr>
          <w:szCs w:val="24"/>
          <w:lang w:eastAsia="zh-HK"/>
        </w:rPr>
        <w:t>Hongguang</w:t>
      </w:r>
      <w:proofErr w:type="spellEnd"/>
      <w:r w:rsidRPr="00055FD5">
        <w:rPr>
          <w:szCs w:val="24"/>
          <w:lang w:eastAsia="zh-HK"/>
        </w:rPr>
        <w:t xml:space="preserve"> Holdings Limited </w:t>
      </w:r>
      <w:r>
        <w:rPr>
          <w:szCs w:val="24"/>
        </w:rPr>
        <w:t>(the “</w:t>
      </w:r>
      <w:r w:rsidRPr="00975862">
        <w:rPr>
          <w:b/>
          <w:szCs w:val="24"/>
        </w:rPr>
        <w:t>Company</w:t>
      </w:r>
      <w:r>
        <w:rPr>
          <w:szCs w:val="24"/>
        </w:rPr>
        <w:t>”)</w:t>
      </w:r>
      <w:r>
        <w:rPr>
          <w:rFonts w:eastAsia="DengXian" w:hint="eastAsia"/>
          <w:szCs w:val="24"/>
          <w:lang w:eastAsia="zh-CN"/>
        </w:rPr>
        <w:t xml:space="preserve"> </w:t>
      </w:r>
      <w:r w:rsidRPr="007D5493">
        <w:t xml:space="preserve">on a voluntary basis to shareholders and potential investors of the Company. </w:t>
      </w:r>
    </w:p>
    <w:p w14:paraId="5BBFECCC" w14:textId="77777777" w:rsidR="00FC6317" w:rsidRDefault="00FC6317" w:rsidP="00FC6317">
      <w:pPr>
        <w:jc w:val="both"/>
      </w:pPr>
    </w:p>
    <w:p w14:paraId="6CEC391B" w14:textId="77777777" w:rsidR="00FC6317" w:rsidRPr="007D5493" w:rsidRDefault="00FC6317" w:rsidP="00FC6317">
      <w:pPr>
        <w:jc w:val="both"/>
        <w:rPr>
          <w:b/>
          <w:bCs/>
        </w:rPr>
      </w:pPr>
      <w:r w:rsidRPr="007D5493">
        <w:rPr>
          <w:b/>
          <w:bCs/>
        </w:rPr>
        <w:t xml:space="preserve">PUBLICATION OF QUARTERLY FINANCIAL RESULTS AND REPORTS </w:t>
      </w:r>
    </w:p>
    <w:p w14:paraId="3D57A956" w14:textId="77777777" w:rsidR="00FC6317" w:rsidRDefault="00FC6317" w:rsidP="00FC6317">
      <w:pPr>
        <w:rPr>
          <w:rFonts w:eastAsia="DengXian"/>
          <w:lang w:eastAsia="zh-CN"/>
        </w:rPr>
      </w:pPr>
      <w:r w:rsidRPr="007D5493">
        <w:t>The board (the ‘‘</w:t>
      </w:r>
      <w:r w:rsidRPr="007D5493">
        <w:rPr>
          <w:b/>
          <w:bCs/>
        </w:rPr>
        <w:t>Board</w:t>
      </w:r>
      <w:r w:rsidRPr="007D5493">
        <w:t>’’) of directors (the ‘‘</w:t>
      </w:r>
      <w:r w:rsidRPr="007D5493">
        <w:rPr>
          <w:b/>
          <w:bCs/>
        </w:rPr>
        <w:t>Director(s)</w:t>
      </w:r>
      <w:r w:rsidRPr="007D5493">
        <w:t>’’) of the Company announces that, after taking into consideration of the consultation conclusions on GEM listing reforms published by The Stock Exchange of Hong Kong Limited (the ‘‘</w:t>
      </w:r>
      <w:r w:rsidRPr="0095207E">
        <w:rPr>
          <w:b/>
          <w:bCs/>
        </w:rPr>
        <w:t>Stock Exchange</w:t>
      </w:r>
      <w:r w:rsidRPr="007D5493">
        <w:t>’’) in December 2023 which effectively removed the mandatory quarterly reporting requirements of companies listed on GEM, and pursuant to paragraph D.1.6 of Appendix C1 of the Rules Governing the Listing of Securities on GEM of the Stock Exchange, the Company has decided not to continuously announce and publish its quarterly financial results and reports based on the following reasons: (</w:t>
      </w:r>
      <w:proofErr w:type="spellStart"/>
      <w:r w:rsidRPr="007D5493">
        <w:t>i</w:t>
      </w:r>
      <w:proofErr w:type="spellEnd"/>
      <w:r w:rsidRPr="007D5493">
        <w:t>) disclosure in the Company’s interim and annual results announcements and reports shall be sufficient; and (ii) the Company’s compliance and administrative costs may be reduced.</w:t>
      </w:r>
    </w:p>
    <w:p w14:paraId="67080AB4" w14:textId="77777777" w:rsidR="00FC6317" w:rsidRDefault="00FC6317" w:rsidP="00FC6317">
      <w:pPr>
        <w:rPr>
          <w:rFonts w:eastAsia="DengXian" w:hint="eastAsia"/>
          <w:sz w:val="28"/>
          <w:szCs w:val="28"/>
          <w:lang w:eastAsia="zh-CN"/>
        </w:rPr>
      </w:pPr>
    </w:p>
    <w:p w14:paraId="3A8F79A7" w14:textId="77777777" w:rsidR="00975862" w:rsidRDefault="00975862" w:rsidP="0025210B">
      <w:pPr>
        <w:autoSpaceDE w:val="0"/>
        <w:autoSpaceDN w:val="0"/>
        <w:adjustRightInd w:val="0"/>
        <w:ind w:left="4678" w:right="-9" w:hanging="7"/>
        <w:rPr>
          <w:szCs w:val="24"/>
        </w:rPr>
      </w:pPr>
    </w:p>
    <w:p w14:paraId="2D3AC27A" w14:textId="77777777" w:rsidR="000407D5" w:rsidRDefault="000407D5" w:rsidP="00055FD5">
      <w:pPr>
        <w:autoSpaceDE w:val="0"/>
        <w:autoSpaceDN w:val="0"/>
        <w:adjustRightInd w:val="0"/>
        <w:ind w:left="4678" w:right="-9" w:hanging="7"/>
        <w:rPr>
          <w:rFonts w:ascii="Times-Roman" w:hAnsi="Times-Roman" w:cs="Times-Roman"/>
          <w:kern w:val="0"/>
          <w:szCs w:val="24"/>
        </w:rPr>
      </w:pPr>
      <w:r>
        <w:rPr>
          <w:rFonts w:ascii="Times-Roman" w:hAnsi="Times-Roman" w:cs="Times-Roman"/>
          <w:kern w:val="0"/>
          <w:szCs w:val="24"/>
        </w:rPr>
        <w:t xml:space="preserve">By </w:t>
      </w:r>
      <w:r w:rsidR="00B02F6A">
        <w:rPr>
          <w:rFonts w:ascii="Times-Roman" w:hAnsi="Times-Roman" w:cs="Times-Roman"/>
          <w:kern w:val="0"/>
          <w:szCs w:val="24"/>
        </w:rPr>
        <w:t>O</w:t>
      </w:r>
      <w:r>
        <w:rPr>
          <w:rFonts w:ascii="Times-Roman" w:hAnsi="Times-Roman" w:cs="Times-Roman"/>
          <w:kern w:val="0"/>
          <w:szCs w:val="24"/>
        </w:rPr>
        <w:t xml:space="preserve">rder </w:t>
      </w:r>
      <w:r w:rsidRPr="0025210B">
        <w:rPr>
          <w:szCs w:val="24"/>
        </w:rPr>
        <w:t>of</w:t>
      </w:r>
      <w:r>
        <w:rPr>
          <w:rFonts w:ascii="Times-Roman" w:hAnsi="Times-Roman" w:cs="Times-Roman"/>
          <w:kern w:val="0"/>
          <w:szCs w:val="24"/>
        </w:rPr>
        <w:t xml:space="preserve"> the Board</w:t>
      </w:r>
    </w:p>
    <w:p w14:paraId="42438EBF" w14:textId="77777777" w:rsidR="005B4721" w:rsidRDefault="00055FD5" w:rsidP="00055FD5">
      <w:pPr>
        <w:autoSpaceDE w:val="0"/>
        <w:autoSpaceDN w:val="0"/>
        <w:adjustRightInd w:val="0"/>
        <w:ind w:left="3360" w:right="-9" w:firstLine="480"/>
        <w:rPr>
          <w:rFonts w:ascii="Times-Bold" w:eastAsia="SimSun" w:hAnsi="Times-Bold" w:cs="Times-Bold" w:hint="eastAsia"/>
          <w:b/>
          <w:bCs/>
          <w:kern w:val="0"/>
          <w:szCs w:val="24"/>
          <w:lang w:eastAsia="zh-CN"/>
        </w:rPr>
      </w:pPr>
      <w:r>
        <w:rPr>
          <w:rFonts w:ascii="Times-Bold" w:hAnsi="Times-Bold" w:cs="Times-Bold"/>
          <w:b/>
          <w:bCs/>
          <w:kern w:val="0"/>
          <w:szCs w:val="24"/>
        </w:rPr>
        <w:t xml:space="preserve"> </w:t>
      </w:r>
      <w:r w:rsidRPr="00055FD5">
        <w:rPr>
          <w:rFonts w:ascii="Times-Bold" w:hAnsi="Times-Bold" w:cs="Times-Bold"/>
          <w:b/>
          <w:bCs/>
          <w:kern w:val="0"/>
          <w:szCs w:val="24"/>
        </w:rPr>
        <w:t xml:space="preserve">China </w:t>
      </w:r>
      <w:proofErr w:type="spellStart"/>
      <w:r w:rsidRPr="00055FD5">
        <w:rPr>
          <w:rFonts w:ascii="Times-Bold" w:hAnsi="Times-Bold" w:cs="Times-Bold"/>
          <w:b/>
          <w:bCs/>
          <w:kern w:val="0"/>
          <w:szCs w:val="24"/>
        </w:rPr>
        <w:t>Hongguang</w:t>
      </w:r>
      <w:proofErr w:type="spellEnd"/>
      <w:r w:rsidRPr="00055FD5">
        <w:rPr>
          <w:rFonts w:ascii="Times-Bold" w:hAnsi="Times-Bold" w:cs="Times-Bold"/>
          <w:b/>
          <w:bCs/>
          <w:kern w:val="0"/>
          <w:szCs w:val="24"/>
        </w:rPr>
        <w:t xml:space="preserve"> Holdings</w:t>
      </w:r>
      <w:r>
        <w:rPr>
          <w:rFonts w:ascii="Times-Bold" w:hAnsi="Times-Bold" w:cs="Times-Bold"/>
          <w:b/>
          <w:bCs/>
          <w:kern w:val="0"/>
          <w:szCs w:val="24"/>
        </w:rPr>
        <w:t xml:space="preserve"> </w:t>
      </w:r>
      <w:r w:rsidR="0025210B" w:rsidRPr="0025210B">
        <w:rPr>
          <w:rFonts w:ascii="Times-Bold" w:hAnsi="Times-Bold" w:cs="Times-Bold"/>
          <w:b/>
          <w:bCs/>
          <w:kern w:val="0"/>
          <w:szCs w:val="24"/>
        </w:rPr>
        <w:t>Limited</w:t>
      </w:r>
    </w:p>
    <w:p w14:paraId="34C819B7" w14:textId="77777777" w:rsidR="0025210B" w:rsidRPr="0025210B" w:rsidRDefault="00055FD5" w:rsidP="00055FD5">
      <w:pPr>
        <w:autoSpaceDE w:val="0"/>
        <w:autoSpaceDN w:val="0"/>
        <w:adjustRightInd w:val="0"/>
        <w:ind w:left="3840" w:right="-9" w:firstLine="480"/>
        <w:rPr>
          <w:rFonts w:ascii="Times-Bold" w:hAnsi="Times-Bold" w:cs="Times-Bold"/>
          <w:b/>
          <w:bCs/>
          <w:kern w:val="0"/>
          <w:szCs w:val="24"/>
        </w:rPr>
      </w:pPr>
      <w:r>
        <w:rPr>
          <w:rFonts w:ascii="Times-Bold" w:hAnsi="Times-Bold" w:cs="Times-Bold"/>
          <w:b/>
          <w:bCs/>
          <w:kern w:val="0"/>
          <w:szCs w:val="24"/>
        </w:rPr>
        <w:t xml:space="preserve">       LIN Weishan</w:t>
      </w:r>
    </w:p>
    <w:p w14:paraId="7B8F63A2" w14:textId="77777777" w:rsidR="000407D5" w:rsidRPr="0025210B" w:rsidRDefault="00055FD5" w:rsidP="00055FD5">
      <w:pPr>
        <w:autoSpaceDE w:val="0"/>
        <w:autoSpaceDN w:val="0"/>
        <w:adjustRightInd w:val="0"/>
        <w:ind w:left="3840" w:right="-58"/>
        <w:rPr>
          <w:rFonts w:ascii="Times-Italic" w:hAnsi="Times-Italic" w:cs="Times-Italic" w:hint="eastAsia"/>
          <w:i/>
          <w:iCs/>
          <w:kern w:val="0"/>
          <w:szCs w:val="24"/>
          <w:lang w:eastAsia="zh-HK"/>
        </w:rPr>
      </w:pPr>
      <w:r>
        <w:rPr>
          <w:rFonts w:ascii="Times-Bold" w:hAnsi="Times-Bold" w:cs="Times-Bold"/>
          <w:bCs/>
          <w:i/>
          <w:kern w:val="0"/>
          <w:szCs w:val="24"/>
        </w:rPr>
        <w:t xml:space="preserve">  </w:t>
      </w:r>
      <w:r w:rsidR="00DE3586">
        <w:rPr>
          <w:rFonts w:ascii="Times-Bold" w:hAnsi="Times-Bold" w:cs="Times-Bold"/>
          <w:bCs/>
          <w:i/>
          <w:kern w:val="0"/>
          <w:szCs w:val="24"/>
        </w:rPr>
        <w:t>Chair</w:t>
      </w:r>
      <w:r>
        <w:rPr>
          <w:rFonts w:ascii="Times-Bold" w:hAnsi="Times-Bold" w:cs="Times-Bold"/>
          <w:bCs/>
          <w:i/>
          <w:kern w:val="0"/>
          <w:szCs w:val="24"/>
        </w:rPr>
        <w:t>woman and Executive Director</w:t>
      </w:r>
    </w:p>
    <w:p w14:paraId="46EE3C1B" w14:textId="77777777" w:rsidR="00055FD5" w:rsidRDefault="00055FD5" w:rsidP="000407D5">
      <w:pPr>
        <w:autoSpaceDE w:val="0"/>
        <w:autoSpaceDN w:val="0"/>
        <w:adjustRightInd w:val="0"/>
        <w:rPr>
          <w:rFonts w:ascii="Times-Roman" w:hAnsi="Times-Roman" w:cs="Times-Roman"/>
          <w:kern w:val="0"/>
          <w:szCs w:val="24"/>
        </w:rPr>
      </w:pPr>
    </w:p>
    <w:p w14:paraId="3C84B432" w14:textId="77777777" w:rsidR="000407D5" w:rsidRPr="005B4721" w:rsidRDefault="000407D5" w:rsidP="000407D5">
      <w:pPr>
        <w:autoSpaceDE w:val="0"/>
        <w:autoSpaceDN w:val="0"/>
        <w:adjustRightInd w:val="0"/>
        <w:rPr>
          <w:rFonts w:ascii="Times-Roman" w:eastAsia="SimSun" w:hAnsi="Times-Roman" w:cs="Times-Roman"/>
          <w:kern w:val="0"/>
          <w:szCs w:val="24"/>
          <w:lang w:eastAsia="zh-CN"/>
        </w:rPr>
      </w:pPr>
      <w:r>
        <w:rPr>
          <w:rFonts w:ascii="Times-Roman" w:hAnsi="Times-Roman" w:cs="Times-Roman"/>
          <w:kern w:val="0"/>
          <w:szCs w:val="24"/>
        </w:rPr>
        <w:t xml:space="preserve">Hong Kong, </w:t>
      </w:r>
      <w:r w:rsidR="00FC6317">
        <w:rPr>
          <w:rFonts w:ascii="Times-Roman" w:eastAsia="DengXian" w:hAnsi="Times-Roman" w:cs="Times-Roman" w:hint="eastAsia"/>
          <w:kern w:val="0"/>
          <w:szCs w:val="24"/>
          <w:lang w:eastAsia="zh-CN"/>
        </w:rPr>
        <w:t>3</w:t>
      </w:r>
      <w:r w:rsidR="00EF393A">
        <w:rPr>
          <w:rFonts w:ascii="Times-Roman" w:hAnsi="Times-Roman" w:cs="Times-Roman"/>
          <w:color w:val="000000"/>
          <w:kern w:val="0"/>
          <w:szCs w:val="24"/>
          <w:lang w:eastAsia="zh-HK"/>
        </w:rPr>
        <w:t xml:space="preserve"> </w:t>
      </w:r>
      <w:r w:rsidR="00FC6317">
        <w:rPr>
          <w:rFonts w:ascii="Times-Roman" w:eastAsia="DengXian" w:hAnsi="Times-Roman" w:cs="Times-Roman" w:hint="eastAsia"/>
          <w:color w:val="000000"/>
          <w:kern w:val="0"/>
          <w:szCs w:val="24"/>
          <w:lang w:eastAsia="zh-CN"/>
        </w:rPr>
        <w:t>May</w:t>
      </w:r>
      <w:r w:rsidR="00EF393A">
        <w:rPr>
          <w:rFonts w:ascii="Times-Roman" w:hAnsi="Times-Roman" w:cs="Times-Roman"/>
          <w:color w:val="000000"/>
          <w:kern w:val="0"/>
          <w:szCs w:val="24"/>
          <w:lang w:eastAsia="zh-HK"/>
        </w:rPr>
        <w:t xml:space="preserve"> 20</w:t>
      </w:r>
      <w:r w:rsidR="001D5FBD">
        <w:rPr>
          <w:rFonts w:ascii="Times-Roman" w:hAnsi="Times-Roman" w:cs="Times-Roman"/>
          <w:color w:val="000000"/>
          <w:kern w:val="0"/>
          <w:szCs w:val="24"/>
          <w:lang w:eastAsia="zh-HK"/>
        </w:rPr>
        <w:t>2</w:t>
      </w:r>
      <w:r w:rsidR="002830B5">
        <w:rPr>
          <w:rFonts w:ascii="Times-Roman" w:hAnsi="Times-Roman" w:cs="Times-Roman"/>
          <w:color w:val="000000"/>
          <w:kern w:val="0"/>
          <w:szCs w:val="24"/>
          <w:lang w:eastAsia="zh-HK"/>
        </w:rPr>
        <w:t>4</w:t>
      </w:r>
    </w:p>
    <w:p w14:paraId="4A01BA94" w14:textId="77777777" w:rsidR="000407D5" w:rsidRDefault="000407D5" w:rsidP="000407D5">
      <w:pPr>
        <w:autoSpaceDE w:val="0"/>
        <w:autoSpaceDN w:val="0"/>
        <w:adjustRightInd w:val="0"/>
        <w:rPr>
          <w:rFonts w:ascii="Times-Italic" w:hAnsi="Times-Italic" w:cs="Times-Italic"/>
          <w:i/>
          <w:iCs/>
          <w:kern w:val="0"/>
          <w:sz w:val="20"/>
          <w:szCs w:val="20"/>
        </w:rPr>
      </w:pPr>
    </w:p>
    <w:p w14:paraId="3F5FA67E" w14:textId="77777777" w:rsidR="00055FD5" w:rsidRPr="003F1B4E" w:rsidRDefault="00055FD5" w:rsidP="00055FD5">
      <w:pPr>
        <w:autoSpaceDE w:val="0"/>
        <w:autoSpaceDN w:val="0"/>
        <w:adjustRightInd w:val="0"/>
        <w:snapToGrid w:val="0"/>
        <w:contextualSpacing/>
        <w:jc w:val="both"/>
        <w:rPr>
          <w:rFonts w:ascii="Times-Italic" w:eastAsia="SimSun" w:hAnsi="Times-Italic" w:cs="Times-Italic" w:hint="eastAsia"/>
          <w:i/>
          <w:iCs/>
          <w:kern w:val="0"/>
          <w:sz w:val="20"/>
          <w:szCs w:val="20"/>
          <w:lang w:eastAsia="zh-CN"/>
        </w:rPr>
      </w:pPr>
      <w:r w:rsidRPr="003F1B4E">
        <w:rPr>
          <w:rFonts w:ascii="Times-Italic" w:hAnsi="Times-Italic" w:cs="Times-Italic"/>
          <w:i/>
          <w:iCs/>
          <w:kern w:val="0"/>
          <w:sz w:val="20"/>
          <w:szCs w:val="20"/>
        </w:rPr>
        <w:t xml:space="preserve">As at the date of this announcement, the </w:t>
      </w:r>
      <w:r w:rsidR="00F60E91">
        <w:rPr>
          <w:rFonts w:ascii="Times-Italic" w:hAnsi="Times-Italic" w:cs="Times-Italic"/>
          <w:i/>
          <w:iCs/>
          <w:kern w:val="0"/>
          <w:sz w:val="20"/>
          <w:szCs w:val="20"/>
        </w:rPr>
        <w:t>E</w:t>
      </w:r>
      <w:r w:rsidRPr="003F1B4E">
        <w:rPr>
          <w:rFonts w:ascii="Times-Italic" w:hAnsi="Times-Italic" w:cs="Times-Italic"/>
          <w:i/>
          <w:iCs/>
          <w:kern w:val="0"/>
          <w:sz w:val="20"/>
          <w:szCs w:val="20"/>
        </w:rPr>
        <w:t xml:space="preserve">xecutive Directors are </w:t>
      </w:r>
      <w:r w:rsidRPr="005804BF">
        <w:rPr>
          <w:rFonts w:ascii="Times-Italic" w:hAnsi="Times-Italic" w:cs="Times-Italic"/>
          <w:i/>
          <w:iCs/>
          <w:kern w:val="0"/>
          <w:sz w:val="20"/>
          <w:szCs w:val="20"/>
        </w:rPr>
        <w:t>Mr. W</w:t>
      </w:r>
      <w:r>
        <w:rPr>
          <w:rFonts w:ascii="Times-Italic" w:hAnsi="Times-Italic" w:cs="Times-Italic"/>
          <w:i/>
          <w:iCs/>
          <w:kern w:val="0"/>
          <w:sz w:val="20"/>
          <w:szCs w:val="20"/>
        </w:rPr>
        <w:t>EI</w:t>
      </w:r>
      <w:r w:rsidRPr="005804BF">
        <w:rPr>
          <w:rFonts w:ascii="Times-Italic" w:hAnsi="Times-Italic" w:cs="Times-Italic"/>
          <w:i/>
          <w:iCs/>
          <w:kern w:val="0"/>
          <w:sz w:val="20"/>
          <w:szCs w:val="20"/>
        </w:rPr>
        <w:t xml:space="preserve"> </w:t>
      </w:r>
      <w:proofErr w:type="spellStart"/>
      <w:r w:rsidRPr="005804BF">
        <w:rPr>
          <w:rFonts w:ascii="Times-Italic" w:hAnsi="Times-Italic" w:cs="Times-Italic"/>
          <w:i/>
          <w:iCs/>
          <w:kern w:val="0"/>
          <w:sz w:val="20"/>
          <w:szCs w:val="20"/>
        </w:rPr>
        <w:t>Jiakun</w:t>
      </w:r>
      <w:proofErr w:type="spellEnd"/>
      <w:r>
        <w:rPr>
          <w:rFonts w:ascii="Times-Italic" w:hAnsi="Times-Italic" w:cs="Times-Italic"/>
          <w:i/>
          <w:iCs/>
          <w:kern w:val="0"/>
          <w:sz w:val="20"/>
          <w:szCs w:val="20"/>
        </w:rPr>
        <w:t xml:space="preserve">, </w:t>
      </w:r>
      <w:r w:rsidRPr="005804BF">
        <w:rPr>
          <w:rFonts w:ascii="Times-Italic" w:hAnsi="Times-Italic" w:cs="Times-Italic"/>
          <w:i/>
          <w:iCs/>
          <w:kern w:val="0"/>
          <w:sz w:val="20"/>
          <w:szCs w:val="20"/>
        </w:rPr>
        <w:t>Ms. L</w:t>
      </w:r>
      <w:r>
        <w:rPr>
          <w:rFonts w:ascii="Times-Italic" w:hAnsi="Times-Italic" w:cs="Times-Italic"/>
          <w:i/>
          <w:iCs/>
          <w:kern w:val="0"/>
          <w:sz w:val="20"/>
          <w:szCs w:val="20"/>
        </w:rPr>
        <w:t>IN</w:t>
      </w:r>
      <w:r w:rsidRPr="005804BF">
        <w:rPr>
          <w:rFonts w:ascii="Times-Italic" w:hAnsi="Times-Italic" w:cs="Times-Italic"/>
          <w:i/>
          <w:iCs/>
          <w:kern w:val="0"/>
          <w:sz w:val="20"/>
          <w:szCs w:val="20"/>
        </w:rPr>
        <w:t xml:space="preserve"> Weishan</w:t>
      </w:r>
      <w:r>
        <w:rPr>
          <w:rFonts w:ascii="Times-Italic" w:hAnsi="Times-Italic" w:cs="Times-Italic"/>
          <w:i/>
          <w:iCs/>
          <w:kern w:val="0"/>
          <w:sz w:val="20"/>
          <w:szCs w:val="20"/>
        </w:rPr>
        <w:t xml:space="preserve">, Mr. CHEN </w:t>
      </w:r>
      <w:proofErr w:type="gramStart"/>
      <w:r>
        <w:rPr>
          <w:rFonts w:ascii="Times-Italic" w:hAnsi="Times-Italic" w:cs="Times-Italic"/>
          <w:i/>
          <w:iCs/>
          <w:kern w:val="0"/>
          <w:sz w:val="20"/>
          <w:szCs w:val="20"/>
        </w:rPr>
        <w:t>Biming</w:t>
      </w:r>
      <w:proofErr w:type="gramEnd"/>
      <w:r>
        <w:rPr>
          <w:rFonts w:ascii="Times-Italic" w:hAnsi="Times-Italic" w:cs="Times-Italic"/>
          <w:i/>
          <w:iCs/>
          <w:kern w:val="0"/>
          <w:sz w:val="20"/>
          <w:szCs w:val="20"/>
        </w:rPr>
        <w:t xml:space="preserve"> </w:t>
      </w:r>
      <w:r w:rsidRPr="00912355">
        <w:rPr>
          <w:rFonts w:ascii="Times-Italic" w:hAnsi="Times-Italic" w:cs="Times-Italic"/>
          <w:i/>
          <w:iCs/>
          <w:kern w:val="0"/>
          <w:sz w:val="20"/>
          <w:szCs w:val="20"/>
        </w:rPr>
        <w:t>and M</w:t>
      </w:r>
      <w:r>
        <w:rPr>
          <w:rFonts w:ascii="Times-Italic" w:hAnsi="Times-Italic" w:cs="Times-Italic"/>
          <w:i/>
          <w:iCs/>
          <w:kern w:val="0"/>
          <w:sz w:val="20"/>
          <w:szCs w:val="20"/>
        </w:rPr>
        <w:t>s. LI Wanna</w:t>
      </w:r>
      <w:r w:rsidRPr="00912355">
        <w:rPr>
          <w:rFonts w:ascii="Times-Italic" w:hAnsi="Times-Italic" w:cs="Times-Italic"/>
          <w:i/>
          <w:iCs/>
          <w:kern w:val="0"/>
          <w:sz w:val="20"/>
          <w:szCs w:val="20"/>
        </w:rPr>
        <w:t xml:space="preserve">; and the </w:t>
      </w:r>
      <w:r w:rsidR="00F60E91">
        <w:rPr>
          <w:rFonts w:ascii="Times-Italic" w:hAnsi="Times-Italic" w:cs="Times-Italic"/>
          <w:i/>
          <w:iCs/>
          <w:kern w:val="0"/>
          <w:sz w:val="20"/>
          <w:szCs w:val="20"/>
        </w:rPr>
        <w:t>I</w:t>
      </w:r>
      <w:r w:rsidRPr="00912355">
        <w:rPr>
          <w:rFonts w:ascii="Times-Italic" w:hAnsi="Times-Italic" w:cs="Times-Italic"/>
          <w:i/>
          <w:iCs/>
          <w:kern w:val="0"/>
          <w:sz w:val="20"/>
          <w:szCs w:val="20"/>
        </w:rPr>
        <w:t xml:space="preserve">ndependent </w:t>
      </w:r>
      <w:r w:rsidR="00F60E91">
        <w:rPr>
          <w:rFonts w:ascii="Times-Italic" w:hAnsi="Times-Italic" w:cs="Times-Italic"/>
          <w:i/>
          <w:iCs/>
          <w:kern w:val="0"/>
          <w:sz w:val="20"/>
          <w:szCs w:val="20"/>
        </w:rPr>
        <w:t>N</w:t>
      </w:r>
      <w:r w:rsidRPr="00912355">
        <w:rPr>
          <w:rFonts w:ascii="Times-Italic" w:hAnsi="Times-Italic" w:cs="Times-Italic"/>
          <w:i/>
          <w:iCs/>
          <w:kern w:val="0"/>
          <w:sz w:val="20"/>
          <w:szCs w:val="20"/>
        </w:rPr>
        <w:t>on-</w:t>
      </w:r>
      <w:r w:rsidR="00F60E91">
        <w:rPr>
          <w:rFonts w:ascii="Times-Italic" w:hAnsi="Times-Italic" w:cs="Times-Italic"/>
          <w:i/>
          <w:iCs/>
          <w:kern w:val="0"/>
          <w:sz w:val="20"/>
          <w:szCs w:val="20"/>
        </w:rPr>
        <w:t>E</w:t>
      </w:r>
      <w:r w:rsidRPr="00912355">
        <w:rPr>
          <w:rFonts w:ascii="Times-Italic" w:hAnsi="Times-Italic" w:cs="Times-Italic"/>
          <w:i/>
          <w:iCs/>
          <w:kern w:val="0"/>
          <w:sz w:val="20"/>
          <w:szCs w:val="20"/>
        </w:rPr>
        <w:t>xecutive Directors are M</w:t>
      </w:r>
      <w:r>
        <w:rPr>
          <w:rFonts w:ascii="Times-Italic" w:hAnsi="Times-Italic" w:cs="Times-Italic"/>
          <w:i/>
          <w:iCs/>
          <w:kern w:val="0"/>
          <w:sz w:val="20"/>
          <w:szCs w:val="20"/>
        </w:rPr>
        <w:t>s</w:t>
      </w:r>
      <w:r w:rsidRPr="00912355">
        <w:rPr>
          <w:rFonts w:ascii="Times-Italic" w:hAnsi="Times-Italic" w:cs="Times-Italic"/>
          <w:i/>
          <w:iCs/>
          <w:kern w:val="0"/>
          <w:sz w:val="20"/>
          <w:szCs w:val="20"/>
        </w:rPr>
        <w:t xml:space="preserve">. </w:t>
      </w:r>
      <w:r>
        <w:rPr>
          <w:rFonts w:ascii="Times-Italic" w:hAnsi="Times-Italic" w:cs="Times-Italic"/>
          <w:i/>
          <w:iCs/>
          <w:kern w:val="0"/>
          <w:sz w:val="20"/>
          <w:szCs w:val="20"/>
        </w:rPr>
        <w:t xml:space="preserve">CHEN </w:t>
      </w:r>
      <w:proofErr w:type="spellStart"/>
      <w:r>
        <w:rPr>
          <w:rFonts w:ascii="Times-Italic" w:hAnsi="Times-Italic" w:cs="Times-Italic"/>
          <w:i/>
          <w:iCs/>
          <w:kern w:val="0"/>
          <w:sz w:val="20"/>
          <w:szCs w:val="20"/>
        </w:rPr>
        <w:t>Xiuyan</w:t>
      </w:r>
      <w:proofErr w:type="spellEnd"/>
      <w:r w:rsidRPr="00912355">
        <w:rPr>
          <w:rFonts w:ascii="Times-Italic" w:hAnsi="Times-Italic" w:cs="Times-Italic"/>
          <w:i/>
          <w:iCs/>
          <w:kern w:val="0"/>
          <w:sz w:val="20"/>
          <w:szCs w:val="20"/>
        </w:rPr>
        <w:t>,</w:t>
      </w:r>
      <w:r>
        <w:rPr>
          <w:rFonts w:ascii="Times-Italic" w:hAnsi="Times-Italic" w:cs="Times-Italic"/>
          <w:i/>
          <w:iCs/>
          <w:kern w:val="0"/>
          <w:sz w:val="20"/>
          <w:szCs w:val="20"/>
        </w:rPr>
        <w:t xml:space="preserve"> </w:t>
      </w:r>
      <w:r w:rsidRPr="00912355">
        <w:rPr>
          <w:rFonts w:ascii="Times-Italic" w:hAnsi="Times-Italic" w:cs="Times-Italic"/>
          <w:i/>
          <w:iCs/>
          <w:kern w:val="0"/>
          <w:sz w:val="20"/>
          <w:szCs w:val="20"/>
        </w:rPr>
        <w:t>Mr.</w:t>
      </w:r>
      <w:r>
        <w:rPr>
          <w:rFonts w:ascii="Times-Italic" w:hAnsi="Times-Italic" w:cs="Times-Italic"/>
          <w:i/>
          <w:iCs/>
          <w:kern w:val="0"/>
          <w:sz w:val="20"/>
          <w:szCs w:val="20"/>
        </w:rPr>
        <w:t xml:space="preserve"> JIA Xiaogang</w:t>
      </w:r>
      <w:r w:rsidRPr="00912355">
        <w:rPr>
          <w:rFonts w:ascii="Times-Italic" w:hAnsi="Times-Italic" w:cs="Times-Italic"/>
          <w:i/>
          <w:iCs/>
          <w:kern w:val="0"/>
          <w:sz w:val="20"/>
          <w:szCs w:val="20"/>
        </w:rPr>
        <w:t xml:space="preserve"> and Mr. </w:t>
      </w:r>
      <w:r>
        <w:rPr>
          <w:rFonts w:ascii="Times-Italic" w:hAnsi="Times-Italic" w:cs="Times-Italic"/>
          <w:i/>
          <w:iCs/>
          <w:kern w:val="0"/>
          <w:sz w:val="20"/>
          <w:szCs w:val="20"/>
        </w:rPr>
        <w:t>WU Yong</w:t>
      </w:r>
      <w:r w:rsidRPr="003F1B4E">
        <w:rPr>
          <w:rFonts w:ascii="Times-Italic" w:hAnsi="Times-Italic" w:cs="Times-Italic"/>
          <w:i/>
          <w:iCs/>
          <w:kern w:val="0"/>
          <w:sz w:val="20"/>
          <w:szCs w:val="20"/>
        </w:rPr>
        <w:t>.</w:t>
      </w:r>
    </w:p>
    <w:p w14:paraId="53830ABC" w14:textId="77777777" w:rsidR="00164E31" w:rsidRDefault="00164E31" w:rsidP="00164E31">
      <w:pPr>
        <w:autoSpaceDE w:val="0"/>
        <w:autoSpaceDN w:val="0"/>
        <w:adjustRightInd w:val="0"/>
        <w:snapToGrid w:val="0"/>
        <w:contextualSpacing/>
        <w:jc w:val="both"/>
        <w:rPr>
          <w:rFonts w:ascii="Times-Italic" w:eastAsia="SimSun" w:hAnsi="Times-Italic" w:cs="Times-Italic" w:hint="eastAsia"/>
          <w:i/>
          <w:iCs/>
          <w:kern w:val="0"/>
          <w:sz w:val="20"/>
          <w:szCs w:val="20"/>
          <w:lang w:eastAsia="zh-CN"/>
        </w:rPr>
      </w:pPr>
    </w:p>
    <w:p w14:paraId="653FBBC4" w14:textId="77777777" w:rsidR="00772606" w:rsidRPr="00772606" w:rsidRDefault="00772606" w:rsidP="00772606">
      <w:pPr>
        <w:autoSpaceDE w:val="0"/>
        <w:autoSpaceDN w:val="0"/>
        <w:adjustRightInd w:val="0"/>
        <w:snapToGrid w:val="0"/>
        <w:contextualSpacing/>
        <w:jc w:val="both"/>
        <w:rPr>
          <w:rFonts w:ascii="Times-Italic" w:eastAsia="SimSun" w:hAnsi="Times-Italic" w:cs="Times-Italic" w:hint="eastAsia"/>
          <w:i/>
          <w:iCs/>
          <w:kern w:val="0"/>
          <w:sz w:val="20"/>
          <w:szCs w:val="20"/>
          <w:lang w:eastAsia="zh-CN"/>
        </w:rPr>
      </w:pPr>
      <w:r w:rsidRPr="00772606">
        <w:rPr>
          <w:rFonts w:ascii="Times-Italic" w:eastAsia="SimSun" w:hAnsi="Times-Italic" w:cs="Times-Italic"/>
          <w:i/>
          <w:iCs/>
          <w:kern w:val="0"/>
          <w:sz w:val="20"/>
          <w:szCs w:val="20"/>
          <w:lang w:eastAsia="zh-CN"/>
        </w:rPr>
        <w:lastRenderedPageBreak/>
        <w:t xml:space="preserve">This announcement, for which the </w:t>
      </w:r>
      <w:r w:rsidR="00F60E91">
        <w:rPr>
          <w:rFonts w:ascii="Times-Italic" w:eastAsia="SimSun" w:hAnsi="Times-Italic" w:cs="Times-Italic"/>
          <w:i/>
          <w:iCs/>
          <w:kern w:val="0"/>
          <w:sz w:val="20"/>
          <w:szCs w:val="20"/>
          <w:lang w:eastAsia="zh-CN"/>
        </w:rPr>
        <w:t>d</w:t>
      </w:r>
      <w:r w:rsidRPr="00772606">
        <w:rPr>
          <w:rFonts w:ascii="Times-Italic" w:eastAsia="SimSun" w:hAnsi="Times-Italic" w:cs="Times-Italic"/>
          <w:i/>
          <w:iCs/>
          <w:kern w:val="0"/>
          <w:sz w:val="20"/>
          <w:szCs w:val="20"/>
          <w:lang w:eastAsia="zh-CN"/>
        </w:rPr>
        <w:t xml:space="preserve">irectors </w:t>
      </w:r>
      <w:r w:rsidR="00F60E91">
        <w:rPr>
          <w:rFonts w:ascii="Times-Italic" w:eastAsia="SimSun" w:hAnsi="Times-Italic" w:cs="Times-Italic"/>
          <w:i/>
          <w:iCs/>
          <w:kern w:val="0"/>
          <w:sz w:val="20"/>
          <w:szCs w:val="20"/>
          <w:lang w:eastAsia="zh-CN"/>
        </w:rPr>
        <w:t>of the Company (the “</w:t>
      </w:r>
      <w:r w:rsidR="00F60E91" w:rsidRPr="00F60E91">
        <w:rPr>
          <w:rFonts w:ascii="Times-Italic" w:eastAsia="SimSun" w:hAnsi="Times-Italic" w:cs="Times-Italic"/>
          <w:b/>
          <w:bCs/>
          <w:i/>
          <w:iCs/>
          <w:kern w:val="0"/>
          <w:sz w:val="20"/>
          <w:szCs w:val="20"/>
          <w:lang w:eastAsia="zh-CN"/>
        </w:rPr>
        <w:t>Directors</w:t>
      </w:r>
      <w:r w:rsidR="00F60E91">
        <w:rPr>
          <w:rFonts w:ascii="Times-Italic" w:eastAsia="SimSun" w:hAnsi="Times-Italic" w:cs="Times-Italic"/>
          <w:i/>
          <w:iCs/>
          <w:kern w:val="0"/>
          <w:sz w:val="20"/>
          <w:szCs w:val="20"/>
          <w:lang w:eastAsia="zh-CN"/>
        </w:rPr>
        <w:t xml:space="preserve">”) </w:t>
      </w:r>
      <w:r w:rsidRPr="00772606">
        <w:rPr>
          <w:rFonts w:ascii="Times-Italic" w:eastAsia="SimSun" w:hAnsi="Times-Italic" w:cs="Times-Italic"/>
          <w:i/>
          <w:iCs/>
          <w:kern w:val="0"/>
          <w:sz w:val="20"/>
          <w:szCs w:val="20"/>
          <w:lang w:eastAsia="zh-CN"/>
        </w:rPr>
        <w:t>collectively and individually accept</w:t>
      </w:r>
      <w:r>
        <w:rPr>
          <w:rFonts w:ascii="Times-Italic" w:eastAsia="SimSun" w:hAnsi="Times-Italic" w:cs="Times-Italic" w:hint="eastAsia"/>
          <w:i/>
          <w:iCs/>
          <w:kern w:val="0"/>
          <w:sz w:val="20"/>
          <w:szCs w:val="20"/>
          <w:lang w:eastAsia="zh-CN"/>
        </w:rPr>
        <w:t xml:space="preserve"> </w:t>
      </w:r>
      <w:r w:rsidRPr="00772606">
        <w:rPr>
          <w:rFonts w:ascii="Times-Italic" w:eastAsia="SimSun" w:hAnsi="Times-Italic" w:cs="Times-Italic"/>
          <w:i/>
          <w:iCs/>
          <w:kern w:val="0"/>
          <w:sz w:val="20"/>
          <w:szCs w:val="20"/>
          <w:lang w:eastAsia="zh-CN"/>
        </w:rPr>
        <w:t xml:space="preserve">full responsibility, includes particulars given in compliance with the </w:t>
      </w:r>
      <w:r w:rsidR="00633D73">
        <w:rPr>
          <w:rFonts w:ascii="Times-Italic" w:eastAsia="SimSun" w:hAnsi="Times-Italic" w:cs="Times-Italic"/>
          <w:i/>
          <w:iCs/>
          <w:kern w:val="0"/>
          <w:sz w:val="20"/>
          <w:szCs w:val="20"/>
          <w:lang w:eastAsia="zh-CN"/>
        </w:rPr>
        <w:t xml:space="preserve">GEM </w:t>
      </w:r>
      <w:r w:rsidR="001B423D">
        <w:rPr>
          <w:rFonts w:ascii="Times-Italic" w:eastAsia="SimSun" w:hAnsi="Times-Italic" w:cs="Times-Italic"/>
          <w:i/>
          <w:iCs/>
          <w:kern w:val="0"/>
          <w:sz w:val="20"/>
          <w:szCs w:val="20"/>
          <w:lang w:eastAsia="zh-CN"/>
        </w:rPr>
        <w:t xml:space="preserve">Listing Rules </w:t>
      </w:r>
      <w:r w:rsidRPr="00772606">
        <w:rPr>
          <w:rFonts w:ascii="Times-Italic" w:eastAsia="SimSun" w:hAnsi="Times-Italic" w:cs="Times-Italic"/>
          <w:i/>
          <w:iCs/>
          <w:kern w:val="0"/>
          <w:sz w:val="20"/>
          <w:szCs w:val="20"/>
          <w:lang w:eastAsia="zh-CN"/>
        </w:rPr>
        <w:t xml:space="preserve">for the purpose of giving information </w:t>
      </w:r>
      <w:proofErr w:type="gramStart"/>
      <w:r w:rsidRPr="00772606">
        <w:rPr>
          <w:rFonts w:ascii="Times-Italic" w:eastAsia="SimSun" w:hAnsi="Times-Italic" w:cs="Times-Italic"/>
          <w:i/>
          <w:iCs/>
          <w:kern w:val="0"/>
          <w:sz w:val="20"/>
          <w:szCs w:val="20"/>
          <w:lang w:eastAsia="zh-CN"/>
        </w:rPr>
        <w:t>with regard to</w:t>
      </w:r>
      <w:proofErr w:type="gramEnd"/>
      <w:r w:rsidRPr="00772606">
        <w:rPr>
          <w:rFonts w:ascii="Times-Italic" w:eastAsia="SimSun" w:hAnsi="Times-Italic" w:cs="Times-Italic"/>
          <w:i/>
          <w:iCs/>
          <w:kern w:val="0"/>
          <w:sz w:val="20"/>
          <w:szCs w:val="20"/>
          <w:lang w:eastAsia="zh-CN"/>
        </w:rPr>
        <w:t xml:space="preserve"> the Company. The </w:t>
      </w:r>
      <w:r w:rsidR="00335571">
        <w:rPr>
          <w:rFonts w:ascii="Times-Italic" w:eastAsia="SimSun" w:hAnsi="Times-Italic" w:cs="Times-Italic"/>
          <w:i/>
          <w:iCs/>
          <w:kern w:val="0"/>
          <w:sz w:val="20"/>
          <w:szCs w:val="20"/>
          <w:lang w:eastAsia="zh-CN"/>
        </w:rPr>
        <w:t>D</w:t>
      </w:r>
      <w:r w:rsidRPr="00772606">
        <w:rPr>
          <w:rFonts w:ascii="Times-Italic" w:eastAsia="SimSun" w:hAnsi="Times-Italic" w:cs="Times-Italic"/>
          <w:i/>
          <w:iCs/>
          <w:kern w:val="0"/>
          <w:sz w:val="20"/>
          <w:szCs w:val="20"/>
          <w:lang w:eastAsia="zh-CN"/>
        </w:rPr>
        <w:t>irectors,</w:t>
      </w:r>
      <w:r>
        <w:rPr>
          <w:rFonts w:ascii="Times-Italic" w:eastAsia="SimSun" w:hAnsi="Times-Italic" w:cs="Times-Italic" w:hint="eastAsia"/>
          <w:i/>
          <w:iCs/>
          <w:kern w:val="0"/>
          <w:sz w:val="20"/>
          <w:szCs w:val="20"/>
          <w:lang w:eastAsia="zh-CN"/>
        </w:rPr>
        <w:t xml:space="preserve"> </w:t>
      </w:r>
      <w:r w:rsidRPr="00772606">
        <w:rPr>
          <w:rFonts w:ascii="Times-Italic" w:eastAsia="SimSun" w:hAnsi="Times-Italic" w:cs="Times-Italic"/>
          <w:i/>
          <w:iCs/>
          <w:kern w:val="0"/>
          <w:sz w:val="20"/>
          <w:szCs w:val="20"/>
          <w:lang w:eastAsia="zh-CN"/>
        </w:rPr>
        <w:t>having made all reasonable enquiries, confirm that, to the best of their knowledge and belief,</w:t>
      </w:r>
      <w:r>
        <w:rPr>
          <w:rFonts w:ascii="Times-Italic" w:eastAsia="SimSun" w:hAnsi="Times-Italic" w:cs="Times-Italic" w:hint="eastAsia"/>
          <w:i/>
          <w:iCs/>
          <w:kern w:val="0"/>
          <w:sz w:val="20"/>
          <w:szCs w:val="20"/>
          <w:lang w:eastAsia="zh-CN"/>
        </w:rPr>
        <w:t xml:space="preserve"> </w:t>
      </w:r>
      <w:r w:rsidRPr="00772606">
        <w:rPr>
          <w:rFonts w:ascii="Times-Italic" w:eastAsia="SimSun" w:hAnsi="Times-Italic" w:cs="Times-Italic"/>
          <w:i/>
          <w:iCs/>
          <w:kern w:val="0"/>
          <w:sz w:val="20"/>
          <w:szCs w:val="20"/>
          <w:lang w:eastAsia="zh-CN"/>
        </w:rPr>
        <w:t>the information contained in this announcement is accurate and complete in all material</w:t>
      </w:r>
      <w:r>
        <w:rPr>
          <w:rFonts w:ascii="Times-Italic" w:eastAsia="SimSun" w:hAnsi="Times-Italic" w:cs="Times-Italic" w:hint="eastAsia"/>
          <w:i/>
          <w:iCs/>
          <w:kern w:val="0"/>
          <w:sz w:val="20"/>
          <w:szCs w:val="20"/>
          <w:lang w:eastAsia="zh-CN"/>
        </w:rPr>
        <w:t xml:space="preserve"> </w:t>
      </w:r>
      <w:r w:rsidRPr="00772606">
        <w:rPr>
          <w:rFonts w:ascii="Times-Italic" w:eastAsia="SimSun" w:hAnsi="Times-Italic" w:cs="Times-Italic"/>
          <w:i/>
          <w:iCs/>
          <w:kern w:val="0"/>
          <w:sz w:val="20"/>
          <w:szCs w:val="20"/>
          <w:lang w:eastAsia="zh-CN"/>
        </w:rPr>
        <w:t>respects and not misleading or deceptive, and there are no other matters the omission of which</w:t>
      </w:r>
      <w:r>
        <w:rPr>
          <w:rFonts w:ascii="Times-Italic" w:eastAsia="SimSun" w:hAnsi="Times-Italic" w:cs="Times-Italic" w:hint="eastAsia"/>
          <w:i/>
          <w:iCs/>
          <w:kern w:val="0"/>
          <w:sz w:val="20"/>
          <w:szCs w:val="20"/>
          <w:lang w:eastAsia="zh-CN"/>
        </w:rPr>
        <w:t xml:space="preserve"> </w:t>
      </w:r>
      <w:r w:rsidRPr="00772606">
        <w:rPr>
          <w:rFonts w:ascii="Times-Italic" w:eastAsia="SimSun" w:hAnsi="Times-Italic" w:cs="Times-Italic"/>
          <w:i/>
          <w:iCs/>
          <w:kern w:val="0"/>
          <w:sz w:val="20"/>
          <w:szCs w:val="20"/>
          <w:lang w:eastAsia="zh-CN"/>
        </w:rPr>
        <w:t>would make any statement in this announcement misleading</w:t>
      </w:r>
      <w:r>
        <w:rPr>
          <w:rFonts w:ascii="Times-Italic" w:eastAsia="SimSun" w:hAnsi="Times-Italic" w:cs="Times-Italic" w:hint="eastAsia"/>
          <w:i/>
          <w:iCs/>
          <w:kern w:val="0"/>
          <w:sz w:val="20"/>
          <w:szCs w:val="20"/>
          <w:lang w:eastAsia="zh-CN"/>
        </w:rPr>
        <w:t>.</w:t>
      </w:r>
    </w:p>
    <w:p w14:paraId="59133681" w14:textId="77777777" w:rsidR="00164E31" w:rsidRDefault="00164E31" w:rsidP="0025210B">
      <w:pPr>
        <w:autoSpaceDE w:val="0"/>
        <w:autoSpaceDN w:val="0"/>
        <w:adjustRightInd w:val="0"/>
        <w:snapToGrid w:val="0"/>
        <w:contextualSpacing/>
        <w:jc w:val="both"/>
        <w:rPr>
          <w:rFonts w:ascii="Times-Italic" w:hAnsi="Times-Italic" w:cs="Times-Italic" w:hint="eastAsia"/>
          <w:i/>
          <w:iCs/>
          <w:kern w:val="0"/>
          <w:sz w:val="20"/>
          <w:szCs w:val="20"/>
        </w:rPr>
      </w:pPr>
    </w:p>
    <w:p w14:paraId="511EC6B5" w14:textId="77777777" w:rsidR="0025210B" w:rsidRPr="002811D3" w:rsidRDefault="0025210B" w:rsidP="0025210B">
      <w:pPr>
        <w:autoSpaceDE w:val="0"/>
        <w:autoSpaceDN w:val="0"/>
        <w:adjustRightInd w:val="0"/>
        <w:snapToGrid w:val="0"/>
        <w:contextualSpacing/>
        <w:jc w:val="both"/>
        <w:rPr>
          <w:rFonts w:ascii="Times-Italic" w:eastAsia="PMingLiU" w:hAnsi="Times-Italic" w:cs="Times-Italic" w:hint="eastAsia"/>
          <w:i/>
          <w:iCs/>
          <w:kern w:val="0"/>
          <w:sz w:val="20"/>
          <w:szCs w:val="20"/>
        </w:rPr>
      </w:pPr>
      <w:r w:rsidRPr="0025210B">
        <w:rPr>
          <w:rFonts w:ascii="Times-Italic" w:eastAsia="SimSun" w:hAnsi="Times-Italic" w:cs="Times-Italic"/>
          <w:i/>
          <w:iCs/>
          <w:kern w:val="0"/>
          <w:sz w:val="20"/>
          <w:szCs w:val="20"/>
          <w:lang w:eastAsia="zh-CN"/>
        </w:rPr>
        <w:t xml:space="preserve">This announcement will remain on the “Latest Listed Company Information” page of </w:t>
      </w:r>
      <w:r w:rsidR="00F60E91">
        <w:rPr>
          <w:rFonts w:ascii="Times-Italic" w:eastAsia="SimSun" w:hAnsi="Times-Italic" w:cs="Times-Italic"/>
          <w:i/>
          <w:iCs/>
          <w:kern w:val="0"/>
          <w:sz w:val="20"/>
          <w:szCs w:val="20"/>
          <w:lang w:eastAsia="zh-CN"/>
        </w:rPr>
        <w:t xml:space="preserve">GEM website </w:t>
      </w:r>
      <w:r w:rsidRPr="001B423D">
        <w:rPr>
          <w:rFonts w:ascii="Times-Italic" w:eastAsia="SimSun" w:hAnsi="Times-Italic" w:cs="Times-Italic"/>
          <w:i/>
          <w:iCs/>
          <w:kern w:val="0"/>
          <w:sz w:val="20"/>
          <w:szCs w:val="20"/>
          <w:lang w:eastAsia="zh-CN"/>
        </w:rPr>
        <w:t xml:space="preserve">at </w:t>
      </w:r>
      <w:r w:rsidRPr="00F60E91">
        <w:rPr>
          <w:rFonts w:ascii="Times-Italic" w:eastAsia="SimSun" w:hAnsi="Times-Italic" w:cs="Times-Italic"/>
          <w:i/>
          <w:iCs/>
          <w:kern w:val="0"/>
          <w:sz w:val="20"/>
          <w:szCs w:val="20"/>
          <w:lang w:eastAsia="zh-CN"/>
        </w:rPr>
        <w:t>www.hk</w:t>
      </w:r>
      <w:r w:rsidR="00F60E91" w:rsidRPr="00F60E91">
        <w:rPr>
          <w:rFonts w:ascii="Times-Italic" w:eastAsia="SimSun" w:hAnsi="Times-Italic" w:cs="Times-Italic"/>
          <w:i/>
          <w:iCs/>
          <w:kern w:val="0"/>
          <w:sz w:val="20"/>
          <w:szCs w:val="20"/>
          <w:lang w:eastAsia="zh-CN"/>
        </w:rPr>
        <w:t>gem.com</w:t>
      </w:r>
      <w:r w:rsidRPr="001B423D">
        <w:rPr>
          <w:rFonts w:ascii="Times-Italic" w:eastAsia="SimSun" w:hAnsi="Times-Italic" w:cs="Times-Italic"/>
          <w:i/>
          <w:iCs/>
          <w:kern w:val="0"/>
          <w:sz w:val="20"/>
          <w:szCs w:val="20"/>
          <w:lang w:eastAsia="zh-CN"/>
        </w:rPr>
        <w:t xml:space="preserve"> for</w:t>
      </w:r>
      <w:r w:rsidRPr="0025210B">
        <w:rPr>
          <w:rFonts w:ascii="Times-Italic" w:eastAsia="SimSun" w:hAnsi="Times-Italic" w:cs="Times-Italic"/>
          <w:i/>
          <w:iCs/>
          <w:kern w:val="0"/>
          <w:sz w:val="20"/>
          <w:szCs w:val="20"/>
          <w:lang w:eastAsia="zh-CN"/>
        </w:rPr>
        <w:t xml:space="preserve"> at least seven days from the day of its</w:t>
      </w:r>
      <w:r w:rsidRPr="002811D3">
        <w:rPr>
          <w:rFonts w:ascii="Times-Italic" w:eastAsia="PMingLiU" w:hAnsi="Times-Italic" w:cs="Times-Italic" w:hint="eastAsia"/>
          <w:i/>
          <w:iCs/>
          <w:kern w:val="0"/>
          <w:sz w:val="20"/>
          <w:szCs w:val="20"/>
        </w:rPr>
        <w:t xml:space="preserve"> </w:t>
      </w:r>
      <w:r w:rsidRPr="0025210B">
        <w:rPr>
          <w:rFonts w:ascii="Times-Italic" w:eastAsia="SimSun" w:hAnsi="Times-Italic" w:cs="Times-Italic"/>
          <w:i/>
          <w:iCs/>
          <w:kern w:val="0"/>
          <w:sz w:val="20"/>
          <w:szCs w:val="20"/>
          <w:lang w:eastAsia="zh-CN"/>
        </w:rPr>
        <w:t xml:space="preserve">posting. This announcement will also be published on the website of the Company </w:t>
      </w:r>
      <w:r w:rsidRPr="001B423D">
        <w:rPr>
          <w:rFonts w:ascii="Times-Italic" w:eastAsia="SimSun" w:hAnsi="Times-Italic" w:cs="Times-Italic"/>
          <w:i/>
          <w:iCs/>
          <w:kern w:val="0"/>
          <w:sz w:val="20"/>
          <w:szCs w:val="20"/>
          <w:lang w:eastAsia="zh-CN"/>
        </w:rPr>
        <w:t>at</w:t>
      </w:r>
      <w:r w:rsidRPr="001B423D">
        <w:rPr>
          <w:rFonts w:ascii="Times-Italic" w:eastAsia="PMingLiU" w:hAnsi="Times-Italic" w:cs="Times-Italic" w:hint="eastAsia"/>
          <w:i/>
          <w:iCs/>
          <w:kern w:val="0"/>
          <w:sz w:val="20"/>
          <w:szCs w:val="20"/>
        </w:rPr>
        <w:t xml:space="preserve"> </w:t>
      </w:r>
      <w:r w:rsidR="00055FD5" w:rsidRPr="00F60E91">
        <w:rPr>
          <w:rFonts w:ascii="Times-Italic" w:eastAsia="SimSun" w:hAnsi="Times-Italic" w:cs="Times-Italic"/>
          <w:i/>
          <w:iCs/>
          <w:kern w:val="0"/>
          <w:sz w:val="20"/>
          <w:szCs w:val="20"/>
          <w:lang w:eastAsia="zh-CN"/>
        </w:rPr>
        <w:t>www.hongguang.hk</w:t>
      </w:r>
      <w:r w:rsidRPr="001B423D">
        <w:rPr>
          <w:rFonts w:ascii="Times-Italic" w:eastAsia="PMingLiU" w:hAnsi="Times-Italic" w:cs="Times-Italic" w:hint="eastAsia"/>
          <w:i/>
          <w:iCs/>
          <w:kern w:val="0"/>
          <w:sz w:val="20"/>
          <w:szCs w:val="20"/>
        </w:rPr>
        <w:t>.</w:t>
      </w:r>
    </w:p>
    <w:sectPr w:rsidR="0025210B" w:rsidRPr="002811D3" w:rsidSect="00E14FFE">
      <w:headerReference w:type="default" r:id="rId9"/>
      <w:pgSz w:w="11906" w:h="16838"/>
      <w:pgMar w:top="1135" w:right="1800" w:bottom="709"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399D" w14:textId="77777777" w:rsidR="00E14FFE" w:rsidRDefault="00E14FFE" w:rsidP="00A0070A">
      <w:r>
        <w:separator/>
      </w:r>
    </w:p>
  </w:endnote>
  <w:endnote w:type="continuationSeparator" w:id="0">
    <w:p w14:paraId="253A65BC" w14:textId="77777777" w:rsidR="00E14FFE" w:rsidRDefault="00E14FFE" w:rsidP="00A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12F4" w14:textId="77777777" w:rsidR="00E14FFE" w:rsidRDefault="00E14FFE" w:rsidP="00A0070A">
      <w:r>
        <w:separator/>
      </w:r>
    </w:p>
  </w:footnote>
  <w:footnote w:type="continuationSeparator" w:id="0">
    <w:p w14:paraId="7D128C21" w14:textId="77777777" w:rsidR="00E14FFE" w:rsidRDefault="00E14FFE" w:rsidP="00A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CEB1" w14:textId="77777777" w:rsidR="009B78BE" w:rsidRPr="009B78BE" w:rsidRDefault="009B78BE" w:rsidP="009B78BE">
    <w:pPr>
      <w:pStyle w:val="Header"/>
      <w:jc w:val="right"/>
      <w:rPr>
        <w:rFonts w:eastAsia="SimSun"/>
        <w:b/>
        <w:i/>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73418"/>
    <w:multiLevelType w:val="hybridMultilevel"/>
    <w:tmpl w:val="8CEA77CC"/>
    <w:lvl w:ilvl="0" w:tplc="D81C21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A813A5"/>
    <w:multiLevelType w:val="hybridMultilevel"/>
    <w:tmpl w:val="2924D240"/>
    <w:lvl w:ilvl="0" w:tplc="DD92E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78331811">
    <w:abstractNumId w:val="0"/>
  </w:num>
  <w:num w:numId="2" w16cid:durableId="47841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7D"/>
    <w:rsid w:val="000023CE"/>
    <w:rsid w:val="000407D5"/>
    <w:rsid w:val="00040800"/>
    <w:rsid w:val="000502DF"/>
    <w:rsid w:val="00055FD5"/>
    <w:rsid w:val="00064EA4"/>
    <w:rsid w:val="00081AA1"/>
    <w:rsid w:val="000A3DEE"/>
    <w:rsid w:val="000A4D56"/>
    <w:rsid w:val="000D56B6"/>
    <w:rsid w:val="00112C37"/>
    <w:rsid w:val="001227CE"/>
    <w:rsid w:val="00131B9D"/>
    <w:rsid w:val="00135011"/>
    <w:rsid w:val="00164E31"/>
    <w:rsid w:val="00187A85"/>
    <w:rsid w:val="001930C0"/>
    <w:rsid w:val="001B322F"/>
    <w:rsid w:val="001B423D"/>
    <w:rsid w:val="001C4109"/>
    <w:rsid w:val="001D5FBD"/>
    <w:rsid w:val="001E2FEF"/>
    <w:rsid w:val="001E3706"/>
    <w:rsid w:val="001F422B"/>
    <w:rsid w:val="001F6716"/>
    <w:rsid w:val="00206C7C"/>
    <w:rsid w:val="0021071F"/>
    <w:rsid w:val="00215C28"/>
    <w:rsid w:val="0025210B"/>
    <w:rsid w:val="002700CB"/>
    <w:rsid w:val="002811D3"/>
    <w:rsid w:val="002830B5"/>
    <w:rsid w:val="002A77C7"/>
    <w:rsid w:val="002B31AC"/>
    <w:rsid w:val="002D4C21"/>
    <w:rsid w:val="003114A4"/>
    <w:rsid w:val="00335571"/>
    <w:rsid w:val="00346D26"/>
    <w:rsid w:val="00360802"/>
    <w:rsid w:val="00382A7E"/>
    <w:rsid w:val="00393D30"/>
    <w:rsid w:val="00400E71"/>
    <w:rsid w:val="00403EDC"/>
    <w:rsid w:val="00406C77"/>
    <w:rsid w:val="00410F4C"/>
    <w:rsid w:val="004147EE"/>
    <w:rsid w:val="00450629"/>
    <w:rsid w:val="00476185"/>
    <w:rsid w:val="004E1BCB"/>
    <w:rsid w:val="004F05BB"/>
    <w:rsid w:val="0052168B"/>
    <w:rsid w:val="005428F5"/>
    <w:rsid w:val="005505D3"/>
    <w:rsid w:val="005641B2"/>
    <w:rsid w:val="0058268E"/>
    <w:rsid w:val="005B1B54"/>
    <w:rsid w:val="005B4721"/>
    <w:rsid w:val="005D5D6E"/>
    <w:rsid w:val="005E10A7"/>
    <w:rsid w:val="005E216D"/>
    <w:rsid w:val="00613B03"/>
    <w:rsid w:val="006157DF"/>
    <w:rsid w:val="006207AB"/>
    <w:rsid w:val="006264BF"/>
    <w:rsid w:val="00633D73"/>
    <w:rsid w:val="0065127D"/>
    <w:rsid w:val="00660F16"/>
    <w:rsid w:val="00684D6E"/>
    <w:rsid w:val="006A17BE"/>
    <w:rsid w:val="006A1EE0"/>
    <w:rsid w:val="006B2647"/>
    <w:rsid w:val="006D2CC6"/>
    <w:rsid w:val="00701C4F"/>
    <w:rsid w:val="00707D89"/>
    <w:rsid w:val="00717F3B"/>
    <w:rsid w:val="00724CF4"/>
    <w:rsid w:val="0072658C"/>
    <w:rsid w:val="0072693F"/>
    <w:rsid w:val="00766041"/>
    <w:rsid w:val="00772606"/>
    <w:rsid w:val="007818F7"/>
    <w:rsid w:val="007C0294"/>
    <w:rsid w:val="007E71B6"/>
    <w:rsid w:val="007E7D66"/>
    <w:rsid w:val="007F6E2A"/>
    <w:rsid w:val="008141A6"/>
    <w:rsid w:val="0084733C"/>
    <w:rsid w:val="008B20F9"/>
    <w:rsid w:val="008C67B4"/>
    <w:rsid w:val="008C7696"/>
    <w:rsid w:val="008E7AC7"/>
    <w:rsid w:val="008F27FB"/>
    <w:rsid w:val="00926C0C"/>
    <w:rsid w:val="00956845"/>
    <w:rsid w:val="00975862"/>
    <w:rsid w:val="00991EFE"/>
    <w:rsid w:val="0099609D"/>
    <w:rsid w:val="009A4269"/>
    <w:rsid w:val="009A476A"/>
    <w:rsid w:val="009B78BE"/>
    <w:rsid w:val="009D0A82"/>
    <w:rsid w:val="009D3E95"/>
    <w:rsid w:val="009D7099"/>
    <w:rsid w:val="009E3868"/>
    <w:rsid w:val="00A0070A"/>
    <w:rsid w:val="00A16871"/>
    <w:rsid w:val="00A4164D"/>
    <w:rsid w:val="00A448CC"/>
    <w:rsid w:val="00A631AA"/>
    <w:rsid w:val="00A73861"/>
    <w:rsid w:val="00A90F0A"/>
    <w:rsid w:val="00A9665F"/>
    <w:rsid w:val="00AD7AF3"/>
    <w:rsid w:val="00B02F6A"/>
    <w:rsid w:val="00B20733"/>
    <w:rsid w:val="00B23154"/>
    <w:rsid w:val="00B41D46"/>
    <w:rsid w:val="00B4250C"/>
    <w:rsid w:val="00B42C4B"/>
    <w:rsid w:val="00B43924"/>
    <w:rsid w:val="00B51776"/>
    <w:rsid w:val="00B5223B"/>
    <w:rsid w:val="00B62805"/>
    <w:rsid w:val="00B8106C"/>
    <w:rsid w:val="00B86E57"/>
    <w:rsid w:val="00B91054"/>
    <w:rsid w:val="00B95CDA"/>
    <w:rsid w:val="00BA30C5"/>
    <w:rsid w:val="00BA7CD2"/>
    <w:rsid w:val="00BD7EAE"/>
    <w:rsid w:val="00BE3CDA"/>
    <w:rsid w:val="00C245F7"/>
    <w:rsid w:val="00C36A40"/>
    <w:rsid w:val="00C71A98"/>
    <w:rsid w:val="00C76B79"/>
    <w:rsid w:val="00C825BB"/>
    <w:rsid w:val="00CA692A"/>
    <w:rsid w:val="00CE1F44"/>
    <w:rsid w:val="00D03AD0"/>
    <w:rsid w:val="00D066D9"/>
    <w:rsid w:val="00D15FFE"/>
    <w:rsid w:val="00D522A3"/>
    <w:rsid w:val="00D90882"/>
    <w:rsid w:val="00DA2F60"/>
    <w:rsid w:val="00DD0CA3"/>
    <w:rsid w:val="00DE3586"/>
    <w:rsid w:val="00E14FFE"/>
    <w:rsid w:val="00E2706B"/>
    <w:rsid w:val="00E36311"/>
    <w:rsid w:val="00E559B7"/>
    <w:rsid w:val="00E57343"/>
    <w:rsid w:val="00E57F4D"/>
    <w:rsid w:val="00E875E2"/>
    <w:rsid w:val="00EA50DB"/>
    <w:rsid w:val="00EA73AF"/>
    <w:rsid w:val="00EC0FCD"/>
    <w:rsid w:val="00EE64CE"/>
    <w:rsid w:val="00EF393A"/>
    <w:rsid w:val="00F13705"/>
    <w:rsid w:val="00F204DF"/>
    <w:rsid w:val="00F275D6"/>
    <w:rsid w:val="00F34EE9"/>
    <w:rsid w:val="00F60E91"/>
    <w:rsid w:val="00F67661"/>
    <w:rsid w:val="00F723D5"/>
    <w:rsid w:val="00F8382E"/>
    <w:rsid w:val="00FA383A"/>
    <w:rsid w:val="00FA597B"/>
    <w:rsid w:val="00FC6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58DAF4"/>
  <w15:chartTrackingRefBased/>
  <w15:docId w15:val="{C6A0B7EA-2595-4FE1-B79C-3F4400D4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FKai-SB"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0A"/>
    <w:pPr>
      <w:widowControl w:val="0"/>
    </w:pPr>
    <w:rPr>
      <w:kern w:val="2"/>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0A"/>
    <w:pPr>
      <w:tabs>
        <w:tab w:val="center" w:pos="4153"/>
        <w:tab w:val="right" w:pos="8306"/>
      </w:tabs>
      <w:snapToGrid w:val="0"/>
    </w:pPr>
    <w:rPr>
      <w:sz w:val="20"/>
      <w:szCs w:val="20"/>
    </w:rPr>
  </w:style>
  <w:style w:type="character" w:customStyle="1" w:styleId="HeaderChar">
    <w:name w:val="Header Char"/>
    <w:link w:val="Header"/>
    <w:uiPriority w:val="99"/>
    <w:rsid w:val="00A0070A"/>
    <w:rPr>
      <w:sz w:val="20"/>
      <w:szCs w:val="20"/>
    </w:rPr>
  </w:style>
  <w:style w:type="paragraph" w:styleId="Footer">
    <w:name w:val="footer"/>
    <w:basedOn w:val="Normal"/>
    <w:link w:val="FooterChar"/>
    <w:uiPriority w:val="99"/>
    <w:unhideWhenUsed/>
    <w:rsid w:val="00A0070A"/>
    <w:pPr>
      <w:tabs>
        <w:tab w:val="center" w:pos="4153"/>
        <w:tab w:val="right" w:pos="8306"/>
      </w:tabs>
      <w:snapToGrid w:val="0"/>
    </w:pPr>
    <w:rPr>
      <w:sz w:val="20"/>
      <w:szCs w:val="20"/>
    </w:rPr>
  </w:style>
  <w:style w:type="character" w:customStyle="1" w:styleId="FooterChar">
    <w:name w:val="Footer Char"/>
    <w:link w:val="Footer"/>
    <w:uiPriority w:val="99"/>
    <w:rsid w:val="00A0070A"/>
    <w:rPr>
      <w:sz w:val="20"/>
      <w:szCs w:val="20"/>
    </w:rPr>
  </w:style>
  <w:style w:type="paragraph" w:styleId="ListParagraph">
    <w:name w:val="List Paragraph"/>
    <w:basedOn w:val="Normal"/>
    <w:uiPriority w:val="34"/>
    <w:qFormat/>
    <w:rsid w:val="00975862"/>
    <w:pPr>
      <w:ind w:leftChars="200" w:left="480"/>
    </w:pPr>
  </w:style>
  <w:style w:type="paragraph" w:styleId="BalloonText">
    <w:name w:val="Balloon Text"/>
    <w:basedOn w:val="Normal"/>
    <w:link w:val="BalloonTextChar"/>
    <w:uiPriority w:val="99"/>
    <w:semiHidden/>
    <w:unhideWhenUsed/>
    <w:rsid w:val="00C71A98"/>
    <w:rPr>
      <w:rFonts w:ascii="Cambria" w:eastAsia="PMingLiU" w:hAnsi="Cambria"/>
      <w:sz w:val="18"/>
      <w:szCs w:val="18"/>
    </w:rPr>
  </w:style>
  <w:style w:type="character" w:customStyle="1" w:styleId="BalloonTextChar">
    <w:name w:val="Balloon Text Char"/>
    <w:link w:val="BalloonText"/>
    <w:uiPriority w:val="99"/>
    <w:semiHidden/>
    <w:rsid w:val="00C71A98"/>
    <w:rPr>
      <w:rFonts w:ascii="Cambria" w:eastAsia="PMingLiU" w:hAnsi="Cambria" w:cs="Times New Roman"/>
      <w:sz w:val="18"/>
      <w:szCs w:val="18"/>
    </w:rPr>
  </w:style>
  <w:style w:type="paragraph" w:styleId="Revision">
    <w:name w:val="Revision"/>
    <w:hidden/>
    <w:uiPriority w:val="99"/>
    <w:semiHidden/>
    <w:rsid w:val="005B4721"/>
    <w:rPr>
      <w:kern w:val="2"/>
      <w:sz w:val="24"/>
      <w:szCs w:val="22"/>
    </w:rPr>
  </w:style>
  <w:style w:type="paragraph" w:styleId="NoSpacing">
    <w:name w:val="No Spacing"/>
    <w:uiPriority w:val="1"/>
    <w:qFormat/>
    <w:rsid w:val="00A4164D"/>
    <w:pPr>
      <w:widowControl w:val="0"/>
    </w:pPr>
    <w:rPr>
      <w:kern w:val="2"/>
      <w:sz w:val="24"/>
      <w:szCs w:val="22"/>
    </w:rPr>
  </w:style>
  <w:style w:type="paragraph" w:customStyle="1" w:styleId="Default">
    <w:name w:val="Default"/>
    <w:rsid w:val="00164E31"/>
    <w:pPr>
      <w:autoSpaceDE w:val="0"/>
      <w:autoSpaceDN w:val="0"/>
      <w:adjustRightInd w:val="0"/>
    </w:pPr>
    <w:rPr>
      <w:color w:val="000000"/>
      <w:sz w:val="24"/>
      <w:szCs w:val="24"/>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864">
      <w:bodyDiv w:val="1"/>
      <w:marLeft w:val="0"/>
      <w:marRight w:val="0"/>
      <w:marTop w:val="0"/>
      <w:marBottom w:val="0"/>
      <w:divBdr>
        <w:top w:val="none" w:sz="0" w:space="0" w:color="auto"/>
        <w:left w:val="none" w:sz="0" w:space="0" w:color="auto"/>
        <w:bottom w:val="none" w:sz="0" w:space="0" w:color="auto"/>
        <w:right w:val="none" w:sz="0" w:space="0" w:color="auto"/>
      </w:divBdr>
    </w:div>
    <w:div w:id="17136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B0FE-95B9-46F1-9AB2-F1ADA786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2426</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cp:lastModifiedBy>Noela Tong</cp:lastModifiedBy>
  <cp:revision>2</cp:revision>
  <cp:lastPrinted>2016-07-22T09:12:00Z</cp:lastPrinted>
  <dcterms:created xsi:type="dcterms:W3CDTF">2024-05-03T09:49:00Z</dcterms:created>
  <dcterms:modified xsi:type="dcterms:W3CDTF">2024-05-03T09:49:00Z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2d7e7-4474-4a67-9ef6-3d4dc52b0ea7_Enabled">
    <vt:lpwstr>true</vt:lpwstr>
  </property>
  <property fmtid="{D5CDD505-2E9C-101B-9397-08002B2CF9AE}" pid="3" name="MSIP_Label_9762d7e7-4474-4a67-9ef6-3d4dc52b0ea7_SetDate">
    <vt:lpwstr>2024-05-03T09:49:18Z</vt:lpwstr>
  </property>
  <property fmtid="{D5CDD505-2E9C-101B-9397-08002B2CF9AE}" pid="4" name="MSIP_Label_9762d7e7-4474-4a67-9ef6-3d4dc52b0ea7_Method">
    <vt:lpwstr>Privileged</vt:lpwstr>
  </property>
  <property fmtid="{D5CDD505-2E9C-101B-9397-08002B2CF9AE}" pid="5" name="MSIP_Label_9762d7e7-4474-4a67-9ef6-3d4dc52b0ea7_Name">
    <vt:lpwstr>Internal</vt:lpwstr>
  </property>
  <property fmtid="{D5CDD505-2E9C-101B-9397-08002B2CF9AE}" pid="6" name="MSIP_Label_9762d7e7-4474-4a67-9ef6-3d4dc52b0ea7_SiteId">
    <vt:lpwstr>057daf85-b1d5-44cd-ab7b-0a4ce1b29eae</vt:lpwstr>
  </property>
  <property fmtid="{D5CDD505-2E9C-101B-9397-08002B2CF9AE}" pid="7" name="MSIP_Label_9762d7e7-4474-4a67-9ef6-3d4dc52b0ea7_ActionId">
    <vt:lpwstr>8a3e84e6-1f07-470f-a604-6c95dc1d3c69</vt:lpwstr>
  </property>
  <property fmtid="{D5CDD505-2E9C-101B-9397-08002B2CF9AE}" pid="8" name="MSIP_Label_9762d7e7-4474-4a67-9ef6-3d4dc52b0ea7_ContentBits">
    <vt:lpwstr>0</vt:lpwstr>
  </property>
</Properties>
</file>