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B5" w:rsidRDefault="00242520">
      <w:r>
        <w:fldChar w:fldCharType="begin"/>
      </w:r>
      <w:r>
        <w:instrText xml:space="preserve"> INCLUDEPICTURE "C:\\Users\\qzl\\AppData\\Local\\Temp\\ksohtml9028\\wps1.jpg" \* MERGEFORMATINET </w:instrText>
      </w:r>
      <w:r>
        <w:fldChar w:fldCharType="separate"/>
      </w:r>
      <w:r>
        <w:fldChar w:fldCharType="begin"/>
      </w:r>
      <w:r>
        <w:instrText xml:space="preserve"> INCLUDEPICTURE  "C:\\Users\\qzl\\AppData\\Local\\Temp\\ksohtml9028\\wps1.jpg" \* MERGEFORMATINET </w:instrText>
      </w:r>
      <w:r>
        <w:fldChar w:fldCharType="separate"/>
      </w:r>
      <w:r w:rsidR="001C2ED8">
        <w:fldChar w:fldCharType="begin"/>
      </w:r>
      <w:r w:rsidR="001C2ED8">
        <w:instrText xml:space="preserve"> INCLUDEPICTURE  "C:\\Users\\ywb\\qzl\\AppData\\Local\\Temp\\ksohtml9028\\wps1.jpg" \* MERGEFORMATINET </w:instrText>
      </w:r>
      <w:r w:rsidR="001C2ED8">
        <w:fldChar w:fldCharType="separate"/>
      </w:r>
      <w:r w:rsidR="00765986">
        <w:fldChar w:fldCharType="begin"/>
      </w:r>
      <w:r w:rsidR="00765986">
        <w:instrText xml:space="preserve"> INCLUDEPICTURE  "C:\\Users\\ywb\\qzl\\AppData\\Local\\Temp\\ksohtml9028\\wps1.jpg" \* MERGEFORMATINET </w:instrText>
      </w:r>
      <w:r w:rsidR="00765986">
        <w:fldChar w:fldCharType="separate"/>
      </w:r>
      <w:r w:rsidR="00735614">
        <w:fldChar w:fldCharType="begin"/>
      </w:r>
      <w:r w:rsidR="00735614">
        <w:instrText xml:space="preserve"> </w:instrText>
      </w:r>
      <w:r w:rsidR="00735614">
        <w:instrText>INCLUDEPICTURE  "C:\\Users\\ywb\\qzl\\AppData\\Local\\Temp\\ksohtml9028\\wps1.jpg" \* MERGEFORMATINET</w:instrText>
      </w:r>
      <w:r w:rsidR="00735614">
        <w:instrText xml:space="preserve"> </w:instrText>
      </w:r>
      <w:r w:rsidR="00735614">
        <w:fldChar w:fldCharType="separate"/>
      </w:r>
      <w:r w:rsidR="007356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28.45pt">
            <v:imagedata r:id="rId8" r:href="rId9"/>
          </v:shape>
        </w:pict>
      </w:r>
      <w:r w:rsidR="00735614">
        <w:fldChar w:fldCharType="end"/>
      </w:r>
      <w:r w:rsidR="00765986">
        <w:fldChar w:fldCharType="end"/>
      </w:r>
      <w:r w:rsidR="001C2ED8">
        <w:fldChar w:fldCharType="end"/>
      </w:r>
      <w:r>
        <w:fldChar w:fldCharType="end"/>
      </w:r>
      <w:r>
        <w:fldChar w:fldCharType="end"/>
      </w:r>
    </w:p>
    <w:p w:rsidR="00185BB5" w:rsidRDefault="00185BB5"/>
    <w:p w:rsidR="00185BB5" w:rsidRDefault="001201E2">
      <w:pPr>
        <w:spacing w:before="100" w:after="120"/>
        <w:jc w:val="center"/>
        <w:rPr>
          <w:rFonts w:ascii="宋体" w:hAnsi="宋体"/>
          <w:color w:val="000000"/>
          <w:sz w:val="32"/>
          <w:szCs w:val="32"/>
        </w:rPr>
      </w:pPr>
      <w:r w:rsidRPr="001201E2">
        <w:rPr>
          <w:rFonts w:ascii="宋体" w:eastAsia="PMingLiU" w:hAnsi="宋体" w:hint="eastAsia"/>
          <w:b/>
          <w:sz w:val="32"/>
          <w:szCs w:val="32"/>
          <w:lang w:eastAsia="zh-TW"/>
        </w:rPr>
        <w:t>薪酬與考核委員會實施細則</w:t>
      </w:r>
      <w:r w:rsidR="00242520">
        <w:rPr>
          <w:rFonts w:ascii="宋体" w:hAnsi="宋体" w:hint="eastAsia"/>
          <w:b/>
          <w:sz w:val="32"/>
          <w:szCs w:val="32"/>
        </w:rPr>
        <w:t xml:space="preserve"> </w:t>
      </w:r>
    </w:p>
    <w:p w:rsidR="00185BB5" w:rsidRPr="005737F8" w:rsidRDefault="001201E2" w:rsidP="001821AA">
      <w:pPr>
        <w:spacing w:line="520" w:lineRule="exact"/>
        <w:jc w:val="center"/>
        <w:rPr>
          <w:rFonts w:ascii="宋体" w:eastAsia="PMingLiU" w:hAnsi="宋体"/>
          <w:sz w:val="24"/>
          <w:szCs w:val="24"/>
          <w:lang w:eastAsia="zh-TW"/>
        </w:rPr>
      </w:pPr>
      <w:r w:rsidRPr="005737F8">
        <w:rPr>
          <w:rFonts w:ascii="宋体" w:eastAsia="PMingLiU" w:hAnsi="宋体"/>
          <w:sz w:val="24"/>
          <w:szCs w:val="24"/>
          <w:lang w:eastAsia="zh-TW"/>
        </w:rPr>
        <w:t>（本細則經</w:t>
      </w:r>
      <w:r w:rsidRPr="005737F8">
        <w:rPr>
          <w:rFonts w:ascii="宋体" w:eastAsia="PMingLiU" w:hAnsi="宋体"/>
          <w:sz w:val="24"/>
          <w:szCs w:val="24"/>
          <w:lang w:eastAsia="zh-TW"/>
        </w:rPr>
        <w:t>2004</w:t>
      </w:r>
      <w:r w:rsidRPr="005737F8">
        <w:rPr>
          <w:rFonts w:ascii="宋体" w:eastAsia="PMingLiU" w:hAnsi="宋体"/>
          <w:sz w:val="24"/>
          <w:szCs w:val="24"/>
          <w:lang w:eastAsia="zh-TW"/>
        </w:rPr>
        <w:t>年</w:t>
      </w:r>
      <w:r w:rsidRPr="005737F8">
        <w:rPr>
          <w:rFonts w:ascii="宋体" w:eastAsia="PMingLiU" w:hAnsi="宋体"/>
          <w:sz w:val="24"/>
          <w:szCs w:val="24"/>
          <w:lang w:eastAsia="zh-TW"/>
        </w:rPr>
        <w:t>2</w:t>
      </w:r>
      <w:r w:rsidRPr="005737F8">
        <w:rPr>
          <w:rFonts w:ascii="宋体" w:eastAsia="PMingLiU" w:hAnsi="宋体"/>
          <w:sz w:val="24"/>
          <w:szCs w:val="24"/>
          <w:lang w:eastAsia="zh-TW"/>
        </w:rPr>
        <w:t>月</w:t>
      </w:r>
      <w:r w:rsidRPr="005737F8">
        <w:rPr>
          <w:rFonts w:ascii="宋体" w:eastAsia="PMingLiU" w:hAnsi="宋体"/>
          <w:sz w:val="24"/>
          <w:szCs w:val="24"/>
          <w:lang w:eastAsia="zh-TW"/>
        </w:rPr>
        <w:t>6</w:t>
      </w:r>
      <w:r w:rsidRPr="005737F8">
        <w:rPr>
          <w:rFonts w:ascii="宋体" w:eastAsia="PMingLiU" w:hAnsi="宋体"/>
          <w:sz w:val="24"/>
          <w:szCs w:val="24"/>
          <w:lang w:eastAsia="zh-TW"/>
        </w:rPr>
        <w:t>日第四届董事會第十二次會議審議通過）</w:t>
      </w:r>
      <w:r w:rsidR="00242520" w:rsidRPr="005737F8">
        <w:rPr>
          <w:rFonts w:ascii="宋体" w:eastAsia="PMingLiU" w:hAnsi="宋体"/>
          <w:sz w:val="24"/>
          <w:szCs w:val="24"/>
          <w:lang w:eastAsia="zh-TW"/>
        </w:rPr>
        <w:t xml:space="preserve"> </w:t>
      </w:r>
    </w:p>
    <w:p w:rsidR="00185BB5" w:rsidRPr="005737F8" w:rsidRDefault="001201E2" w:rsidP="001821AA">
      <w:pPr>
        <w:spacing w:line="520" w:lineRule="exact"/>
        <w:jc w:val="center"/>
        <w:rPr>
          <w:rFonts w:ascii="宋体" w:eastAsia="PMingLiU" w:hAnsi="宋体"/>
          <w:sz w:val="24"/>
          <w:szCs w:val="24"/>
          <w:lang w:eastAsia="zh-TW"/>
        </w:rPr>
      </w:pPr>
      <w:r w:rsidRPr="005737F8">
        <w:rPr>
          <w:rFonts w:ascii="宋体" w:eastAsia="PMingLiU" w:hAnsi="宋体"/>
          <w:sz w:val="24"/>
          <w:szCs w:val="24"/>
          <w:lang w:eastAsia="zh-TW"/>
        </w:rPr>
        <w:t>（</w:t>
      </w:r>
      <w:r w:rsidRPr="005737F8">
        <w:rPr>
          <w:rFonts w:ascii="宋体" w:eastAsia="PMingLiU" w:hAnsi="宋体"/>
          <w:sz w:val="24"/>
          <w:szCs w:val="24"/>
          <w:lang w:eastAsia="zh-TW"/>
        </w:rPr>
        <w:t>2012</w:t>
      </w:r>
      <w:r w:rsidRPr="005737F8">
        <w:rPr>
          <w:rFonts w:ascii="宋体" w:eastAsia="PMingLiU" w:hAnsi="宋体"/>
          <w:sz w:val="24"/>
          <w:szCs w:val="24"/>
          <w:lang w:eastAsia="zh-TW"/>
        </w:rPr>
        <w:t>年</w:t>
      </w:r>
      <w:r w:rsidRPr="005737F8">
        <w:rPr>
          <w:rFonts w:ascii="宋体" w:eastAsia="PMingLiU" w:hAnsi="宋体"/>
          <w:sz w:val="24"/>
          <w:szCs w:val="24"/>
          <w:lang w:eastAsia="zh-TW"/>
        </w:rPr>
        <w:t>3</w:t>
      </w:r>
      <w:r w:rsidRPr="005737F8">
        <w:rPr>
          <w:rFonts w:ascii="宋体" w:eastAsia="PMingLiU" w:hAnsi="宋体"/>
          <w:sz w:val="24"/>
          <w:szCs w:val="24"/>
          <w:lang w:eastAsia="zh-TW"/>
        </w:rPr>
        <w:t>月</w:t>
      </w:r>
      <w:r w:rsidRPr="005737F8">
        <w:rPr>
          <w:rFonts w:ascii="宋体" w:eastAsia="PMingLiU" w:hAnsi="宋体"/>
          <w:sz w:val="24"/>
          <w:szCs w:val="24"/>
          <w:lang w:eastAsia="zh-TW"/>
        </w:rPr>
        <w:t>29</w:t>
      </w:r>
      <w:r w:rsidRPr="005737F8">
        <w:rPr>
          <w:rFonts w:ascii="宋体" w:eastAsia="PMingLiU" w:hAnsi="宋体"/>
          <w:sz w:val="24"/>
          <w:szCs w:val="24"/>
          <w:lang w:eastAsia="zh-TW"/>
        </w:rPr>
        <w:t>日第七届董事會第六次會議第一次修訂）</w:t>
      </w:r>
      <w:r w:rsidR="00242520" w:rsidRPr="005737F8">
        <w:rPr>
          <w:rFonts w:ascii="宋体" w:eastAsia="PMingLiU" w:hAnsi="宋体"/>
          <w:sz w:val="24"/>
          <w:szCs w:val="24"/>
          <w:lang w:eastAsia="zh-TW"/>
        </w:rPr>
        <w:t xml:space="preserve"> </w:t>
      </w:r>
    </w:p>
    <w:p w:rsidR="00185BB5" w:rsidRPr="005737F8" w:rsidRDefault="001201E2" w:rsidP="001821AA">
      <w:pPr>
        <w:spacing w:line="520" w:lineRule="exact"/>
        <w:jc w:val="center"/>
        <w:rPr>
          <w:rFonts w:ascii="宋体" w:eastAsia="PMingLiU" w:hAnsi="宋体"/>
          <w:sz w:val="24"/>
          <w:szCs w:val="24"/>
          <w:lang w:eastAsia="zh-TW"/>
        </w:rPr>
      </w:pPr>
      <w:r w:rsidRPr="005737F8">
        <w:rPr>
          <w:rFonts w:ascii="宋体" w:eastAsia="PMingLiU" w:hAnsi="宋体"/>
          <w:sz w:val="24"/>
          <w:szCs w:val="24"/>
          <w:lang w:eastAsia="zh-TW"/>
        </w:rPr>
        <w:t>（</w:t>
      </w:r>
      <w:r w:rsidRPr="005737F8">
        <w:rPr>
          <w:rFonts w:ascii="宋体" w:eastAsia="PMingLiU" w:hAnsi="宋体"/>
          <w:sz w:val="24"/>
          <w:szCs w:val="24"/>
          <w:lang w:eastAsia="zh-TW"/>
        </w:rPr>
        <w:t>2024</w:t>
      </w:r>
      <w:r w:rsidRPr="005737F8">
        <w:rPr>
          <w:rFonts w:ascii="宋体" w:eastAsia="PMingLiU" w:hAnsi="宋体"/>
          <w:sz w:val="24"/>
          <w:szCs w:val="24"/>
          <w:lang w:eastAsia="zh-TW"/>
        </w:rPr>
        <w:t>年</w:t>
      </w:r>
      <w:r w:rsidRPr="005737F8">
        <w:rPr>
          <w:rFonts w:ascii="宋体" w:eastAsia="PMingLiU" w:hAnsi="宋体"/>
          <w:sz w:val="24"/>
          <w:szCs w:val="24"/>
          <w:lang w:eastAsia="zh-TW"/>
        </w:rPr>
        <w:t>4</w:t>
      </w:r>
      <w:r w:rsidRPr="005737F8">
        <w:rPr>
          <w:rFonts w:ascii="宋体" w:eastAsia="PMingLiU" w:hAnsi="宋体"/>
          <w:sz w:val="24"/>
          <w:szCs w:val="24"/>
          <w:lang w:eastAsia="zh-TW"/>
        </w:rPr>
        <w:t>月</w:t>
      </w:r>
      <w:r w:rsidRPr="005737F8">
        <w:rPr>
          <w:rFonts w:ascii="宋体" w:eastAsia="PMingLiU" w:hAnsi="宋体"/>
          <w:sz w:val="24"/>
          <w:szCs w:val="24"/>
          <w:lang w:eastAsia="zh-TW"/>
        </w:rPr>
        <w:t>25</w:t>
      </w:r>
      <w:r w:rsidRPr="005737F8">
        <w:rPr>
          <w:rFonts w:ascii="宋体" w:eastAsia="PMingLiU" w:hAnsi="宋体"/>
          <w:sz w:val="24"/>
          <w:szCs w:val="24"/>
          <w:lang w:eastAsia="zh-TW"/>
        </w:rPr>
        <w:t>日第十一届董事會第四次會議第二次修訂）</w:t>
      </w:r>
    </w:p>
    <w:p w:rsidR="00185BB5" w:rsidRDefault="001201E2" w:rsidP="00003CA2">
      <w:pPr>
        <w:autoSpaceDE w:val="0"/>
        <w:autoSpaceDN w:val="0"/>
        <w:spacing w:beforeLines="150" w:before="468"/>
        <w:jc w:val="center"/>
        <w:rPr>
          <w:rFonts w:ascii="宋体" w:hAnsi="宋体"/>
          <w:b/>
          <w:bCs/>
          <w:color w:val="000000"/>
          <w:sz w:val="28"/>
          <w:szCs w:val="28"/>
        </w:rPr>
      </w:pPr>
      <w:r w:rsidRPr="001201E2">
        <w:rPr>
          <w:rFonts w:ascii="宋体" w:eastAsia="PMingLiU" w:hAnsi="宋体" w:hint="eastAsia"/>
          <w:b/>
          <w:bCs/>
          <w:color w:val="000000"/>
          <w:sz w:val="28"/>
          <w:szCs w:val="28"/>
          <w:lang w:eastAsia="zh-TW"/>
        </w:rPr>
        <w:t>第一章</w:t>
      </w:r>
      <w:r w:rsidRPr="001201E2">
        <w:rPr>
          <w:rFonts w:ascii="宋体" w:eastAsia="PMingLiU" w:hAnsi="宋体"/>
          <w:b/>
          <w:bCs/>
          <w:color w:val="000000"/>
          <w:sz w:val="28"/>
          <w:szCs w:val="28"/>
          <w:lang w:eastAsia="zh-TW"/>
        </w:rPr>
        <w:t xml:space="preserve"> </w:t>
      </w:r>
      <w:r w:rsidRPr="001201E2">
        <w:rPr>
          <w:rFonts w:ascii="宋体" w:eastAsia="PMingLiU" w:hAnsi="宋体" w:hint="eastAsia"/>
          <w:b/>
          <w:bCs/>
          <w:color w:val="000000"/>
          <w:sz w:val="28"/>
          <w:szCs w:val="28"/>
          <w:lang w:eastAsia="zh-TW"/>
        </w:rPr>
        <w:t>總則</w:t>
      </w:r>
      <w:r w:rsidR="00242520">
        <w:rPr>
          <w:rFonts w:ascii="宋体" w:hAnsi="宋体" w:hint="eastAsia"/>
          <w:b/>
          <w:bCs/>
          <w:color w:val="000000"/>
          <w:sz w:val="28"/>
          <w:szCs w:val="28"/>
        </w:rPr>
        <w:t xml:space="preserve"> </w:t>
      </w:r>
      <w:bookmarkStart w:id="0" w:name="_GoBack"/>
      <w:bookmarkEnd w:id="0"/>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第一條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爲進一步建立健全中船海洋與防務裝備股份有限公司（以下簡稱“本公司”）高級管理人員（定義見第三條）的考核和薪酬管理制度，完善本公司治理結構，根據《中華人民共和國公司法》《上市公司治理準則》、公司股票上市所在地證券交易所各自的上市規則（以下簡稱“上市規則”）、《上海證券交易所上市公司自律監管指引第</w:t>
      </w:r>
      <w:r w:rsidRPr="001201E2">
        <w:rPr>
          <w:rFonts w:ascii="宋体" w:eastAsia="PMingLiU" w:hAnsi="宋体"/>
          <w:sz w:val="24"/>
          <w:szCs w:val="24"/>
          <w:lang w:eastAsia="zh-TW"/>
        </w:rPr>
        <w:t>1</w:t>
      </w:r>
      <w:r w:rsidRPr="001201E2">
        <w:rPr>
          <w:rFonts w:ascii="宋体" w:eastAsia="PMingLiU" w:hAnsi="宋体" w:hint="eastAsia"/>
          <w:sz w:val="24"/>
          <w:szCs w:val="24"/>
          <w:lang w:eastAsia="zh-TW"/>
        </w:rPr>
        <w:t>號——規範運作》、《公司章程》及其他有關規定，本公司設立董事會薪酬與考核委員會，幷制定《薪酬與考核委員會實施細則》，（以下簡稱“本實施細則”）。</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薪酬與考核委員會是董事會設立的專門工作機構，負責制定董事、高級管理人員的考核標準幷進行考核，制定、審查董事、高級管理人員的薪酬政策與方案，對董事會負責。</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第三條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本細則所稱高級管理人員或高管人員是指在本公司領取薪酬的正副董事長、董事、監事、董事會聘任的經理、董事會秘書及由董事會認定的其他高級管理人員，未在本公司領取薪酬的高管人員不在本實施細則的考核範疇內。</w:t>
      </w:r>
      <w:r w:rsidR="00242520">
        <w:rPr>
          <w:rFonts w:ascii="宋体" w:hAnsi="宋体" w:hint="eastAsia"/>
          <w:sz w:val="24"/>
          <w:szCs w:val="24"/>
        </w:rPr>
        <w:t xml:space="preserve"> </w:t>
      </w:r>
    </w:p>
    <w:p w:rsidR="00185BB5" w:rsidRDefault="001201E2" w:rsidP="00003CA2">
      <w:pPr>
        <w:autoSpaceDE w:val="0"/>
        <w:autoSpaceDN w:val="0"/>
        <w:spacing w:beforeLines="100" w:before="312"/>
        <w:jc w:val="center"/>
        <w:rPr>
          <w:rFonts w:ascii="宋体" w:hAnsi="宋体"/>
          <w:b/>
          <w:bCs/>
          <w:color w:val="000000"/>
          <w:sz w:val="28"/>
          <w:szCs w:val="28"/>
        </w:rPr>
      </w:pPr>
      <w:r w:rsidRPr="001201E2">
        <w:rPr>
          <w:rFonts w:ascii="宋体" w:eastAsia="PMingLiU" w:hAnsi="宋体" w:hint="eastAsia"/>
          <w:b/>
          <w:bCs/>
          <w:color w:val="000000"/>
          <w:sz w:val="28"/>
          <w:szCs w:val="28"/>
          <w:lang w:eastAsia="zh-TW"/>
        </w:rPr>
        <w:t>第二章</w:t>
      </w:r>
      <w:r w:rsidRPr="001201E2">
        <w:rPr>
          <w:rFonts w:ascii="宋体" w:eastAsia="PMingLiU" w:hAnsi="宋体"/>
          <w:b/>
          <w:bCs/>
          <w:color w:val="000000"/>
          <w:sz w:val="28"/>
          <w:szCs w:val="28"/>
          <w:lang w:eastAsia="zh-TW"/>
        </w:rPr>
        <w:t xml:space="preserve"> </w:t>
      </w:r>
      <w:r w:rsidRPr="001201E2">
        <w:rPr>
          <w:rFonts w:ascii="宋体" w:eastAsia="PMingLiU" w:hAnsi="宋体" w:hint="eastAsia"/>
          <w:b/>
          <w:bCs/>
          <w:color w:val="000000"/>
          <w:sz w:val="28"/>
          <w:szCs w:val="28"/>
          <w:lang w:eastAsia="zh-TW"/>
        </w:rPr>
        <w:t>人員組成</w:t>
      </w:r>
      <w:r w:rsidR="00242520">
        <w:rPr>
          <w:rFonts w:ascii="宋体" w:hAnsi="宋体" w:hint="eastAsia"/>
          <w:b/>
          <w:bCs/>
          <w:color w:val="000000"/>
          <w:sz w:val="28"/>
          <w:szCs w:val="28"/>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第四條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薪酬與考核委員會由三名董事組成，其中獨立非執行董事兩名。</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lastRenderedPageBreak/>
        <w:t>第五條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薪酬與考核委員會委員由董事長或二分之一以上獨立非執行董事或者全體董事的三分之一提名，幷由董事會選舉産生。</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第六條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薪酬與考核委員會設主任委員一名，由獨立非執行董事委員擔任，負責主持委員會工作；主任委員在獨立非執行董事的委員內由薪酬與考核委員會選舉，幷報請董事會批准後産生。</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lang w:eastAsia="zh-TW"/>
        </w:rPr>
      </w:pPr>
      <w:r w:rsidRPr="001201E2">
        <w:rPr>
          <w:rFonts w:ascii="宋体" w:eastAsia="PMingLiU" w:hAnsi="宋体" w:hint="eastAsia"/>
          <w:b/>
          <w:bCs/>
          <w:sz w:val="24"/>
          <w:szCs w:val="24"/>
          <w:lang w:eastAsia="zh-TW"/>
        </w:rPr>
        <w:t>第七條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薪酬與考核委員會委員的任期與董事任期一致，委員任期届滿，連選可以連任。期間如有委員不再擔任本公司董事職務，自動失去委員資格，幷由董事會根據上述第四至第六條規定補足委員人數。</w:t>
      </w:r>
      <w:r w:rsidR="00242520">
        <w:rPr>
          <w:rFonts w:ascii="宋体" w:hAnsi="宋体" w:hint="eastAsia"/>
          <w:sz w:val="24"/>
          <w:szCs w:val="24"/>
          <w:lang w:eastAsia="zh-TW"/>
        </w:rPr>
        <w:t xml:space="preserve"> </w:t>
      </w:r>
    </w:p>
    <w:p w:rsidR="00185BB5" w:rsidRDefault="001201E2" w:rsidP="001201E2">
      <w:pPr>
        <w:spacing w:beforeLines="50" w:before="156" w:line="520" w:lineRule="exact"/>
        <w:ind w:firstLineChars="200" w:firstLine="480"/>
        <w:rPr>
          <w:rFonts w:ascii="宋体" w:hAnsi="宋体"/>
          <w:sz w:val="24"/>
          <w:szCs w:val="24"/>
          <w:lang w:eastAsia="zh-TW"/>
        </w:rPr>
      </w:pPr>
      <w:r w:rsidRPr="001201E2">
        <w:rPr>
          <w:rFonts w:ascii="宋体" w:eastAsia="PMingLiU" w:hAnsi="宋体" w:hint="eastAsia"/>
          <w:b/>
          <w:bCs/>
          <w:sz w:val="24"/>
          <w:szCs w:val="24"/>
          <w:lang w:eastAsia="zh-TW"/>
        </w:rPr>
        <w:t>第八條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薪酬與考核委員會下設工作小組，承擔薪酬與考核委員會的工作聯絡、會議組織、材料準備和檔案管理等日常工作。薪酬與考核委員會履行職責時，公司管理層及相關部門應當給予配合。</w:t>
      </w:r>
    </w:p>
    <w:p w:rsidR="00185BB5" w:rsidRDefault="001201E2" w:rsidP="00003CA2">
      <w:pPr>
        <w:autoSpaceDE w:val="0"/>
        <w:autoSpaceDN w:val="0"/>
        <w:spacing w:beforeLines="100" w:before="312"/>
        <w:jc w:val="center"/>
        <w:rPr>
          <w:rFonts w:ascii="宋体" w:hAnsi="宋体"/>
          <w:b/>
          <w:bCs/>
          <w:color w:val="000000"/>
          <w:sz w:val="28"/>
          <w:szCs w:val="28"/>
          <w:lang w:eastAsia="zh-TW"/>
        </w:rPr>
      </w:pPr>
      <w:r w:rsidRPr="001201E2">
        <w:rPr>
          <w:rFonts w:ascii="宋体" w:eastAsia="PMingLiU" w:hAnsi="宋体" w:hint="eastAsia"/>
          <w:b/>
          <w:bCs/>
          <w:color w:val="000000"/>
          <w:sz w:val="28"/>
          <w:szCs w:val="28"/>
          <w:lang w:eastAsia="zh-TW"/>
        </w:rPr>
        <w:t>第三章</w:t>
      </w:r>
      <w:r w:rsidRPr="001201E2">
        <w:rPr>
          <w:rFonts w:ascii="宋体" w:eastAsia="PMingLiU" w:hAnsi="宋体"/>
          <w:b/>
          <w:bCs/>
          <w:color w:val="000000"/>
          <w:sz w:val="28"/>
          <w:szCs w:val="28"/>
          <w:lang w:eastAsia="zh-TW"/>
        </w:rPr>
        <w:t xml:space="preserve"> </w:t>
      </w:r>
      <w:r w:rsidRPr="001201E2">
        <w:rPr>
          <w:rFonts w:ascii="宋体" w:eastAsia="PMingLiU" w:hAnsi="宋体" w:hint="eastAsia"/>
          <w:b/>
          <w:bCs/>
          <w:color w:val="000000"/>
          <w:sz w:val="28"/>
          <w:szCs w:val="28"/>
          <w:lang w:eastAsia="zh-TW"/>
        </w:rPr>
        <w:t>職責權限與履職方式</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第九條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薪酬與考核委員會的主要職責：</w:t>
      </w:r>
    </w:p>
    <w:p w:rsidR="00185BB5" w:rsidRDefault="001201E2" w:rsidP="00003CA2">
      <w:pPr>
        <w:spacing w:beforeLines="50" w:before="156" w:line="520" w:lineRule="exact"/>
        <w:ind w:firstLineChars="200" w:firstLine="480"/>
        <w:rPr>
          <w:rFonts w:ascii="宋体" w:hAnsi="宋体"/>
          <w:sz w:val="24"/>
          <w:szCs w:val="24"/>
          <w:lang w:eastAsia="zh-TW"/>
        </w:rPr>
      </w:pPr>
      <w:r w:rsidRPr="001201E2">
        <w:rPr>
          <w:rFonts w:ascii="宋体" w:eastAsia="PMingLiU" w:hAnsi="宋体" w:hint="eastAsia"/>
          <w:sz w:val="24"/>
          <w:szCs w:val="24"/>
          <w:lang w:eastAsia="zh-TW"/>
        </w:rPr>
        <w:t>（一）根據董事、監事及高級管理人員管理崗位的主要範圍、職責、重要性以及其他相關企業相關崗位的薪酬水平，遵從公平、公正、合理的原則制定整體薪酬架構、計劃、方案及</w:t>
      </w:r>
      <w:r w:rsidRPr="001201E2">
        <w:rPr>
          <w:rFonts w:ascii="宋体" w:eastAsia="PMingLiU" w:hAnsi="宋体"/>
          <w:sz w:val="24"/>
          <w:szCs w:val="24"/>
          <w:lang w:eastAsia="zh-TW"/>
        </w:rPr>
        <w:t>/</w:t>
      </w:r>
      <w:r w:rsidRPr="001201E2">
        <w:rPr>
          <w:rFonts w:ascii="宋体" w:eastAsia="PMingLiU" w:hAnsi="宋体" w:hint="eastAsia"/>
          <w:sz w:val="24"/>
          <w:szCs w:val="24"/>
          <w:lang w:eastAsia="zh-TW"/>
        </w:rPr>
        <w:t>或政策和訂立制定該等架構、計劃、方案及</w:t>
      </w:r>
      <w:r w:rsidRPr="001201E2">
        <w:rPr>
          <w:rFonts w:ascii="宋体" w:eastAsia="PMingLiU" w:hAnsi="宋体"/>
          <w:sz w:val="24"/>
          <w:szCs w:val="24"/>
          <w:lang w:eastAsia="zh-TW"/>
        </w:rPr>
        <w:t>/</w:t>
      </w:r>
      <w:r w:rsidRPr="001201E2">
        <w:rPr>
          <w:rFonts w:ascii="宋体" w:eastAsia="PMingLiU" w:hAnsi="宋体" w:hint="eastAsia"/>
          <w:sz w:val="24"/>
          <w:szCs w:val="24"/>
          <w:lang w:eastAsia="zh-TW"/>
        </w:rPr>
        <w:t>或政策時所要遵守的程序（該等程序必須是正規而且具透明度的）。薪酬架構、計劃、方案及</w:t>
      </w:r>
      <w:r w:rsidRPr="001201E2">
        <w:rPr>
          <w:rFonts w:ascii="宋体" w:eastAsia="PMingLiU" w:hAnsi="宋体"/>
          <w:sz w:val="24"/>
          <w:szCs w:val="24"/>
          <w:lang w:eastAsia="zh-TW"/>
        </w:rPr>
        <w:t>/</w:t>
      </w:r>
      <w:r w:rsidRPr="001201E2">
        <w:rPr>
          <w:rFonts w:ascii="宋体" w:eastAsia="PMingLiU" w:hAnsi="宋体" w:hint="eastAsia"/>
          <w:sz w:val="24"/>
          <w:szCs w:val="24"/>
          <w:lang w:eastAsia="zh-TW"/>
        </w:rPr>
        <w:t>或政策主要包括但不限于績效評價標準、程序及主要評價體系，獎勵和懲罰的主要方案和制度等；</w:t>
      </w:r>
      <w:r w:rsidR="00242520">
        <w:rPr>
          <w:rFonts w:ascii="宋体" w:hAnsi="宋体" w:hint="eastAsia"/>
          <w:sz w:val="24"/>
          <w:szCs w:val="24"/>
          <w:lang w:eastAsia="zh-TW"/>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（二）因應董事會所訂的企業方針及目標而檢討及批准管理層的薪酬建議；</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（三）向董事會建議個別執行董事及高級管理人員的薪酬待遇（包括非金錢利益、退休金權利及賠償金額（包括喪失或終止職務或委任的賠償））；</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（四）就非執行董事的薪酬向董事會提出建議；</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lastRenderedPageBreak/>
        <w:t>（五）考慮同類公司支付的薪酬、須付出的時間及職責以及本公司所屬集團內其他職位的雇用條件；</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（六）就其他幷非董事長或經理的執行董事的薪酬建議諮詢董事長及</w:t>
      </w:r>
      <w:r w:rsidRPr="001201E2">
        <w:rPr>
          <w:rFonts w:ascii="宋体" w:eastAsia="PMingLiU" w:hAnsi="宋体"/>
          <w:sz w:val="24"/>
          <w:szCs w:val="24"/>
          <w:lang w:eastAsia="zh-TW"/>
        </w:rPr>
        <w:t>/</w:t>
      </w:r>
      <w:r w:rsidRPr="001201E2">
        <w:rPr>
          <w:rFonts w:ascii="宋体" w:eastAsia="PMingLiU" w:hAnsi="宋体" w:hint="eastAsia"/>
          <w:sz w:val="24"/>
          <w:szCs w:val="24"/>
          <w:lang w:eastAsia="zh-TW"/>
        </w:rPr>
        <w:t>或經理；</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（七）檢討及批准向執行董事及高級管理人員就其喪失或終止職務或委任而須支付的賠償，以確保該等賠償與合同條款一致；若未能與合同條款一致，賠償亦須公平合理，不致過多；</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（八）檢討及批准因董事行爲失當而解雇或罷免有關董事所涉及的賠償安排，以確保該等安排與合同條款一致；若未能與合同條款一致，有關賠償亦須合理適當；</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（九）確保任何董事或其任何連絡人不得參與厘定他自己的薪酬；</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（十）定期審查本公司董事、監事及高級管理人員的履行職責情况幷對其進行年度績效考評；</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（十一）負責對本公司薪酬制度執行情况進行監督；</w:t>
      </w:r>
    </w:p>
    <w:p w:rsidR="00185BB5" w:rsidRDefault="001201E2" w:rsidP="00003CA2">
      <w:pPr>
        <w:spacing w:beforeLines="50" w:before="156" w:line="520" w:lineRule="exact"/>
        <w:ind w:firstLineChars="200" w:firstLine="480"/>
        <w:rPr>
          <w:rStyle w:val="aa"/>
          <w:rFonts w:ascii="宋体" w:hAnsi="宋体"/>
          <w:sz w:val="24"/>
          <w:szCs w:val="24"/>
        </w:rPr>
      </w:pPr>
      <w:r w:rsidRPr="001201E2">
        <w:rPr>
          <w:rFonts w:ascii="宋体" w:eastAsia="PMingLiU" w:hAnsi="宋体" w:hint="eastAsia"/>
          <w:sz w:val="24"/>
          <w:szCs w:val="24"/>
          <w:lang w:eastAsia="zh-TW"/>
        </w:rPr>
        <w:t>（十二）審閱及</w:t>
      </w:r>
      <w:r w:rsidRPr="001201E2">
        <w:rPr>
          <w:rFonts w:ascii="宋体" w:eastAsia="PMingLiU" w:hAnsi="宋体"/>
          <w:sz w:val="24"/>
          <w:szCs w:val="24"/>
          <w:lang w:eastAsia="zh-TW"/>
        </w:rPr>
        <w:t>/</w:t>
      </w:r>
      <w:r w:rsidRPr="001201E2">
        <w:rPr>
          <w:rFonts w:ascii="宋体" w:eastAsia="PMingLiU" w:hAnsi="宋体" w:hint="eastAsia"/>
          <w:sz w:val="24"/>
          <w:szCs w:val="24"/>
          <w:lang w:eastAsia="zh-TW"/>
        </w:rPr>
        <w:t>或批准《香港聯合交易所有限公司證券上市規則》第十七章所述有關股份計劃的事宜；就制定或者變更股權激勵計劃、員工持股計劃，激勵對象獲授權益、行使權益條件成就，以及董事、高級管理人員在擬分拆所屬子公司安排持股計劃，向董事會提出建議；</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（十三）適用法律、法規、上市規則規定的事宜及董事會授權的其他事宜。</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董事會有權否决損害股東利益的薪酬計劃或方案。</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第十一條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薪酬與考核委員會提出的本公司董事的薪酬計劃，須報經董事會同意後，提交股東會審議通過後方可實施；由董事會聘任的其他高管人員的薪酬分配方案須報董事會批准。</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lastRenderedPageBreak/>
        <w:t>第十二條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薪酬與考核委員會下設的工作小組負責做好薪酬與考核委員會决策的前期準備工作，提供本公司有關薪酬及考核事宜方面的資料，可以包括：</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（一）本公司主要財務指標和經營目標完成情况；</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（二）本公司高級管理人員分管工作範圍及主要職責情况；</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（三）董事、監事及高級管理人員崗位工作業績考評系統中涉及指標的完成情况；</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（四）董事、監事及高級管理人員的業務創新能力和創利能力的經營績效情况；</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（五）按本公司業績擬訂公司薪酬分配規劃和分配方式的有關測算依據。</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第十三條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薪酬與考核委員會對高管人員考評程序：</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（一）本公司高管人員向董事會薪酬與考核委員會作述職和自我評價；</w:t>
      </w:r>
      <w:r w:rsidR="00242520">
        <w:rPr>
          <w:rFonts w:ascii="宋体" w:hAnsi="宋体" w:hint="eastAsia"/>
          <w:sz w:val="24"/>
          <w:szCs w:val="24"/>
        </w:rPr>
        <w:t xml:space="preserve"> </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（二）薪酬與考核委員會按績效評價標準和程序，對高管人員進行績效評價；根據崗位績效評價結果及薪酬分配政策提出高管人員的報酬數額和獎勵方式，表决通過後，報本公司董事會。</w:t>
      </w:r>
      <w:r w:rsidR="00242520">
        <w:rPr>
          <w:rFonts w:ascii="宋体" w:hAnsi="宋体" w:hint="eastAsia"/>
          <w:sz w:val="24"/>
          <w:szCs w:val="24"/>
        </w:rPr>
        <w:t xml:space="preserve"> </w:t>
      </w:r>
    </w:p>
    <w:p w:rsidR="00185BB5" w:rsidRDefault="001201E2" w:rsidP="00003CA2">
      <w:pPr>
        <w:autoSpaceDE w:val="0"/>
        <w:autoSpaceDN w:val="0"/>
        <w:spacing w:beforeLines="100" w:before="312"/>
        <w:jc w:val="center"/>
        <w:rPr>
          <w:rFonts w:ascii="宋体" w:hAnsi="宋体"/>
          <w:b/>
          <w:bCs/>
          <w:color w:val="000000"/>
          <w:sz w:val="28"/>
          <w:szCs w:val="28"/>
        </w:rPr>
      </w:pPr>
      <w:r w:rsidRPr="001201E2">
        <w:rPr>
          <w:rFonts w:ascii="宋体" w:eastAsia="PMingLiU" w:hAnsi="宋体" w:hint="eastAsia"/>
          <w:b/>
          <w:bCs/>
          <w:color w:val="000000"/>
          <w:sz w:val="28"/>
          <w:szCs w:val="28"/>
          <w:lang w:eastAsia="zh-TW"/>
        </w:rPr>
        <w:t>第四章</w:t>
      </w:r>
      <w:r w:rsidRPr="001201E2">
        <w:rPr>
          <w:rFonts w:ascii="宋体" w:eastAsia="PMingLiU" w:hAnsi="宋体"/>
          <w:b/>
          <w:bCs/>
          <w:color w:val="000000"/>
          <w:sz w:val="28"/>
          <w:szCs w:val="28"/>
          <w:lang w:eastAsia="zh-TW"/>
        </w:rPr>
        <w:t xml:space="preserve"> </w:t>
      </w:r>
      <w:r w:rsidRPr="001201E2">
        <w:rPr>
          <w:rFonts w:ascii="宋体" w:eastAsia="PMingLiU" w:hAnsi="宋体" w:hint="eastAsia"/>
          <w:b/>
          <w:bCs/>
          <w:color w:val="000000"/>
          <w:sz w:val="28"/>
          <w:szCs w:val="28"/>
          <w:lang w:eastAsia="zh-TW"/>
        </w:rPr>
        <w:t>議事規則</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第十四條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薪酬與考核委員會每年至少召開一次會議。薪酬與考核委員會會議須經兩名及以上委員提議，或主任委員認爲有必要時，方可召開。</w:t>
      </w:r>
    </w:p>
    <w:p w:rsidR="00185BB5" w:rsidRDefault="001201E2" w:rsidP="00003CA2">
      <w:pPr>
        <w:spacing w:beforeLines="50" w:before="156" w:line="520" w:lineRule="exact"/>
        <w:ind w:firstLineChars="200" w:firstLine="480"/>
        <w:rPr>
          <w:rFonts w:ascii="宋体" w:hAnsi="宋体"/>
          <w:sz w:val="24"/>
          <w:szCs w:val="24"/>
        </w:rPr>
      </w:pPr>
      <w:r w:rsidRPr="001201E2">
        <w:rPr>
          <w:rFonts w:ascii="宋体" w:eastAsia="PMingLiU" w:hAnsi="宋体" w:hint="eastAsia"/>
          <w:sz w:val="24"/>
          <w:szCs w:val="24"/>
          <w:lang w:eastAsia="zh-TW"/>
        </w:rPr>
        <w:t>薪酬與考核委員會會議必須有三分之二以上成員出席方可舉行。</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第十五條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薪酬與考核委員會可以采用現場方式、通訊方式（含視頻、電話、傳真、電子郵件等方式）或現場與通訊相結合的方式召開。</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第十六條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薪酬與考核委員會會議原則上應于會議召開前三日發出會議通知。如情况緊急，需儘快召開會議的，經全體委員一致同意，可豁免前述通知</w:t>
      </w:r>
      <w:r w:rsidRPr="001201E2">
        <w:rPr>
          <w:rFonts w:ascii="宋体" w:eastAsia="PMingLiU" w:hAnsi="宋体" w:hint="eastAsia"/>
          <w:sz w:val="24"/>
          <w:szCs w:val="24"/>
          <w:lang w:eastAsia="zh-TW"/>
        </w:rPr>
        <w:lastRenderedPageBreak/>
        <w:t>期限要求。會議通知應附內容完整的議案。</w:t>
      </w:r>
    </w:p>
    <w:p w:rsidR="00185BB5" w:rsidRDefault="001201E2" w:rsidP="001201E2">
      <w:pPr>
        <w:spacing w:beforeLines="50" w:before="156" w:line="520" w:lineRule="exact"/>
        <w:ind w:firstLineChars="200" w:firstLine="512"/>
        <w:rPr>
          <w:rFonts w:ascii="宋体" w:hAnsi="宋体"/>
          <w:sz w:val="24"/>
          <w:szCs w:val="24"/>
        </w:rPr>
      </w:pPr>
      <w:r w:rsidRPr="001201E2">
        <w:rPr>
          <w:rFonts w:ascii="宋体" w:eastAsia="PMingLiU" w:hAnsi="宋体" w:hint="eastAsia"/>
          <w:b/>
          <w:bCs/>
          <w:spacing w:val="8"/>
          <w:sz w:val="24"/>
          <w:szCs w:val="24"/>
          <w:lang w:eastAsia="zh-TW"/>
        </w:rPr>
        <w:t>第十七條</w:t>
      </w:r>
      <w:r w:rsidRPr="001201E2">
        <w:rPr>
          <w:rFonts w:ascii="宋体" w:eastAsia="PMingLiU" w:hAnsi="宋体"/>
          <w:sz w:val="24"/>
          <w:szCs w:val="24"/>
          <w:lang w:eastAsia="zh-TW"/>
        </w:rPr>
        <w:t xml:space="preserve">  </w:t>
      </w:r>
      <w:r w:rsidRPr="001201E2">
        <w:rPr>
          <w:rFonts w:ascii="宋体" w:eastAsia="PMingLiU" w:hAnsi="宋体" w:hint="eastAsia"/>
          <w:spacing w:val="8"/>
          <w:sz w:val="24"/>
          <w:szCs w:val="24"/>
          <w:lang w:eastAsia="zh-TW"/>
        </w:rPr>
        <w:t>委員原則上應當親自出席會議，因故不能親自出席會議的，應當事先審閱會議材料，形成明確的意見，幷書面委托其他委員代爲出席。</w:t>
      </w:r>
      <w:r w:rsidRPr="001201E2">
        <w:rPr>
          <w:rFonts w:ascii="宋体" w:eastAsia="PMingLiU" w:hAnsi="宋体" w:hint="eastAsia"/>
          <w:sz w:val="24"/>
          <w:szCs w:val="24"/>
          <w:lang w:eastAsia="zh-TW"/>
        </w:rPr>
        <w:t>每一名委員有一票的表决權。</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第十八條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會議由主任委員主持，主任委員不能出席時應委托另一名獨立非執行董事委員主持會議。</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第十九條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會議作出的决議，必須經兩名或兩名以上的委員通過方爲有效。</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薪酬與考核委員會會議必要時可以邀請本公司高管人員、工作組成員列席會議。</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第二十一條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本公司向薪酬與考核委員會提供充足的資源以履行其職責。如有必要，薪酬與考核委員會可以聘請中介機構爲其决策提供獨立的專業意見，有關費用由本公司支付。</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第二十二條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薪酬與考核委員會會議討論有關委員會成員的議題時，相關的當事人應回避。</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第二十三條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薪酬與考核委員會會議的召開程序、表决方式和會議通過的議案必須遵循有關法律、法規、上市規則、本公司章程及本實施細則的規定。</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第二十四條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薪酬與考核委員會會議應當有會議記錄，會議記錄應當真實、準確、完整，充分反映與會人員對所審議事項提出的意見。出席會議的委員應當在會議記錄上簽名。</w:t>
      </w:r>
      <w:r w:rsidR="00242520">
        <w:rPr>
          <w:rFonts w:ascii="宋体" w:hAnsi="宋体" w:hint="eastAsia"/>
          <w:sz w:val="24"/>
          <w:szCs w:val="24"/>
        </w:rPr>
        <w:t xml:space="preserve"> </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第二十五條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薪酬與考核委員會會議通過的議案及表决結果，應以書面形式報本公司董事會。</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第二十六條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出席會議的委員均對會議所議事項有保密義務，不得擅自披露有關信息。</w:t>
      </w:r>
    </w:p>
    <w:p w:rsidR="00185BB5" w:rsidRDefault="001201E2" w:rsidP="001201E2">
      <w:pPr>
        <w:spacing w:beforeLines="50" w:before="156" w:line="520" w:lineRule="exact"/>
        <w:ind w:firstLineChars="200" w:firstLine="480"/>
        <w:jc w:val="left"/>
        <w:rPr>
          <w:rFonts w:ascii="宋体" w:hAnsi="宋体"/>
          <w:sz w:val="24"/>
          <w:szCs w:val="24"/>
        </w:rPr>
      </w:pPr>
      <w:r w:rsidRPr="001201E2">
        <w:rPr>
          <w:rFonts w:ascii="宋体" w:eastAsia="PMingLiU" w:hAnsi="宋体" w:hint="eastAsia"/>
          <w:b/>
          <w:sz w:val="24"/>
          <w:szCs w:val="24"/>
          <w:lang w:eastAsia="zh-TW"/>
        </w:rPr>
        <w:lastRenderedPageBreak/>
        <w:t>第二十七條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薪酬與考核委員會會議檔案</w:t>
      </w:r>
      <w:r w:rsidRPr="001201E2">
        <w:rPr>
          <w:rFonts w:ascii="宋体" w:eastAsia="PMingLiU" w:hAnsi="宋体"/>
          <w:sz w:val="24"/>
          <w:szCs w:val="24"/>
          <w:lang w:eastAsia="zh-TW"/>
        </w:rPr>
        <w:t>,</w:t>
      </w:r>
      <w:r w:rsidRPr="001201E2">
        <w:rPr>
          <w:rFonts w:ascii="宋体" w:eastAsia="PMingLiU" w:hAnsi="宋体" w:hint="eastAsia"/>
          <w:sz w:val="24"/>
          <w:szCs w:val="24"/>
          <w:lang w:eastAsia="zh-TW"/>
        </w:rPr>
        <w:t>包括會議通知和會議材料、委員代爲出席的授權委托書、表决票、經與會委員簽字確認的會議决議、會議記錄等，應至少保存十年。</w:t>
      </w:r>
    </w:p>
    <w:p w:rsidR="00185BB5" w:rsidRDefault="001201E2" w:rsidP="00003CA2">
      <w:pPr>
        <w:autoSpaceDE w:val="0"/>
        <w:autoSpaceDN w:val="0"/>
        <w:spacing w:beforeLines="100" w:before="312"/>
        <w:jc w:val="center"/>
        <w:rPr>
          <w:rFonts w:ascii="宋体" w:hAnsi="宋体"/>
          <w:b/>
          <w:bCs/>
          <w:color w:val="000000"/>
          <w:sz w:val="28"/>
          <w:szCs w:val="28"/>
        </w:rPr>
      </w:pPr>
      <w:r w:rsidRPr="001201E2">
        <w:rPr>
          <w:rFonts w:ascii="宋体" w:eastAsia="PMingLiU" w:hAnsi="宋体" w:hint="eastAsia"/>
          <w:b/>
          <w:bCs/>
          <w:color w:val="000000"/>
          <w:sz w:val="28"/>
          <w:szCs w:val="28"/>
          <w:lang w:eastAsia="zh-TW"/>
        </w:rPr>
        <w:t>第五章</w:t>
      </w:r>
      <w:r w:rsidRPr="001201E2">
        <w:rPr>
          <w:rFonts w:ascii="宋体" w:eastAsia="PMingLiU" w:hAnsi="宋体"/>
          <w:b/>
          <w:bCs/>
          <w:color w:val="000000"/>
          <w:sz w:val="28"/>
          <w:szCs w:val="28"/>
          <w:lang w:eastAsia="zh-TW"/>
        </w:rPr>
        <w:t xml:space="preserve"> </w:t>
      </w:r>
      <w:r w:rsidRPr="001201E2">
        <w:rPr>
          <w:rFonts w:ascii="宋体" w:eastAsia="PMingLiU" w:hAnsi="宋体" w:hint="eastAsia"/>
          <w:b/>
          <w:bCs/>
          <w:color w:val="000000"/>
          <w:sz w:val="28"/>
          <w:szCs w:val="28"/>
          <w:lang w:eastAsia="zh-TW"/>
        </w:rPr>
        <w:t>附則</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第二十八條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本實施細則未盡事宜，按國家有關法律、法規和公司章程以及本公司股票上市所在地證券交易所各自上市規則的有關規定執行。</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第二十九條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本實施細則與國家有關法律、法規相悖的，按國家有關法律、法規執行。</w:t>
      </w:r>
    </w:p>
    <w:p w:rsidR="00185BB5" w:rsidRDefault="001201E2" w:rsidP="001201E2">
      <w:pPr>
        <w:spacing w:beforeLines="50" w:before="156" w:line="520" w:lineRule="exact"/>
        <w:ind w:firstLineChars="200" w:firstLine="480"/>
        <w:rPr>
          <w:rFonts w:ascii="宋体" w:hAnsi="宋体"/>
          <w:sz w:val="24"/>
          <w:szCs w:val="24"/>
        </w:rPr>
      </w:pPr>
      <w:r w:rsidRPr="001201E2">
        <w:rPr>
          <w:rFonts w:ascii="宋体" w:eastAsia="PMingLiU" w:hAnsi="宋体" w:hint="eastAsia"/>
          <w:b/>
          <w:bCs/>
          <w:sz w:val="24"/>
          <w:szCs w:val="24"/>
          <w:lang w:eastAsia="zh-TW"/>
        </w:rPr>
        <w:t>第三十條</w:t>
      </w:r>
      <w:r w:rsidRPr="001201E2">
        <w:rPr>
          <w:rFonts w:ascii="宋体" w:eastAsia="PMingLiU" w:hAnsi="宋体"/>
          <w:sz w:val="24"/>
          <w:szCs w:val="24"/>
          <w:lang w:eastAsia="zh-TW"/>
        </w:rPr>
        <w:t xml:space="preserve">  </w:t>
      </w:r>
      <w:r w:rsidRPr="001201E2">
        <w:rPr>
          <w:rFonts w:ascii="宋体" w:eastAsia="PMingLiU" w:hAnsi="宋体" w:hint="eastAsia"/>
          <w:sz w:val="24"/>
          <w:szCs w:val="24"/>
          <w:lang w:eastAsia="zh-TW"/>
        </w:rPr>
        <w:t>本實施細則經董事會審議通過後生效，由董事會負責解釋、修訂。</w:t>
      </w:r>
    </w:p>
    <w:p w:rsidR="00185BB5" w:rsidRDefault="00185BB5">
      <w:pPr>
        <w:jc w:val="left"/>
        <w:rPr>
          <w:rFonts w:ascii="宋体" w:hAnsi="宋体"/>
          <w:b/>
          <w:sz w:val="24"/>
          <w:szCs w:val="24"/>
        </w:rPr>
      </w:pPr>
    </w:p>
    <w:sectPr w:rsidR="00185BB5">
      <w:footerReference w:type="default" r:id="rId10"/>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614" w:rsidRDefault="00735614">
      <w:r>
        <w:separator/>
      </w:r>
    </w:p>
  </w:endnote>
  <w:endnote w:type="continuationSeparator" w:id="0">
    <w:p w:rsidR="00735614" w:rsidRDefault="0073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_GB2312">
    <w:altName w:val="仿宋"/>
    <w:panose1 w:val="02010609060101010101"/>
    <w:charset w:val="00"/>
    <w:family w:val="roman"/>
    <w:pitch w:val="default"/>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BB5" w:rsidRDefault="00242520">
    <w:pPr>
      <w:pStyle w:val="a6"/>
      <w:jc w:val="center"/>
    </w:pPr>
    <w:r>
      <w:fldChar w:fldCharType="begin"/>
    </w:r>
    <w:r>
      <w:instrText xml:space="preserve"> PAGE   \* MERGEFORMAT </w:instrText>
    </w:r>
    <w:r>
      <w:fldChar w:fldCharType="separate"/>
    </w:r>
    <w:r w:rsidR="001821AA" w:rsidRPr="001821AA">
      <w:rPr>
        <w:rFonts w:eastAsia="PMingLiU"/>
        <w:noProof/>
        <w:lang w:val="zh-CN" w:eastAsia="zh-TW"/>
      </w:rPr>
      <w:t>1</w:t>
    </w:r>
    <w:r>
      <w:fldChar w:fldCharType="end"/>
    </w:r>
  </w:p>
  <w:p w:rsidR="00185BB5" w:rsidRDefault="00185B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614" w:rsidRDefault="00735614">
      <w:r>
        <w:separator/>
      </w:r>
    </w:p>
  </w:footnote>
  <w:footnote w:type="continuationSeparator" w:id="0">
    <w:p w:rsidR="00735614" w:rsidRDefault="0073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3CA2"/>
    <w:rsid w:val="000256FA"/>
    <w:rsid w:val="00101A48"/>
    <w:rsid w:val="00107821"/>
    <w:rsid w:val="001201E2"/>
    <w:rsid w:val="00172A27"/>
    <w:rsid w:val="001821AA"/>
    <w:rsid w:val="00185BB5"/>
    <w:rsid w:val="001C2ED8"/>
    <w:rsid w:val="002412C1"/>
    <w:rsid w:val="00242520"/>
    <w:rsid w:val="00261C51"/>
    <w:rsid w:val="003E668F"/>
    <w:rsid w:val="004609D6"/>
    <w:rsid w:val="0048206D"/>
    <w:rsid w:val="004C37DB"/>
    <w:rsid w:val="004D715F"/>
    <w:rsid w:val="005737F8"/>
    <w:rsid w:val="005C5B2A"/>
    <w:rsid w:val="00607AA8"/>
    <w:rsid w:val="006E5038"/>
    <w:rsid w:val="00732E8B"/>
    <w:rsid w:val="00735614"/>
    <w:rsid w:val="00765986"/>
    <w:rsid w:val="007A2CF5"/>
    <w:rsid w:val="007A3340"/>
    <w:rsid w:val="008F6A68"/>
    <w:rsid w:val="009A17A0"/>
    <w:rsid w:val="009B6E3D"/>
    <w:rsid w:val="009C6AFD"/>
    <w:rsid w:val="00A22EBA"/>
    <w:rsid w:val="00A52649"/>
    <w:rsid w:val="00AA15C6"/>
    <w:rsid w:val="00BE1089"/>
    <w:rsid w:val="00C34F7E"/>
    <w:rsid w:val="00C76661"/>
    <w:rsid w:val="00CA4202"/>
    <w:rsid w:val="00CC7466"/>
    <w:rsid w:val="00E714F1"/>
    <w:rsid w:val="00F84AA9"/>
    <w:rsid w:val="00FC5A4D"/>
    <w:rsid w:val="00FF4F12"/>
    <w:rsid w:val="0F083B7C"/>
    <w:rsid w:val="125C4DEF"/>
    <w:rsid w:val="129A7E91"/>
    <w:rsid w:val="13942FCF"/>
    <w:rsid w:val="166A2B6D"/>
    <w:rsid w:val="19D619B1"/>
    <w:rsid w:val="1F5E2479"/>
    <w:rsid w:val="1FD54F82"/>
    <w:rsid w:val="20E22BC0"/>
    <w:rsid w:val="2C4B04F1"/>
    <w:rsid w:val="3006661D"/>
    <w:rsid w:val="32B63910"/>
    <w:rsid w:val="3B400395"/>
    <w:rsid w:val="47993BC9"/>
    <w:rsid w:val="47B124DA"/>
    <w:rsid w:val="48D365DF"/>
    <w:rsid w:val="4ADF0A96"/>
    <w:rsid w:val="4AF747AC"/>
    <w:rsid w:val="4E570C7E"/>
    <w:rsid w:val="4F133D1F"/>
    <w:rsid w:val="54275704"/>
    <w:rsid w:val="5B6C13F3"/>
    <w:rsid w:val="5C067EC8"/>
    <w:rsid w:val="6AAD4B01"/>
    <w:rsid w:val="6C80214A"/>
    <w:rsid w:val="77537A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qFormat/>
    <w:pPr>
      <w:keepNext/>
      <w:keepLines/>
      <w:spacing w:before="260" w:after="260" w:line="416" w:lineRule="auto"/>
      <w:jc w:val="center"/>
      <w:outlineLvl w:val="1"/>
    </w:pPr>
    <w:rPr>
      <w:rFonts w:ascii="Cambria" w:eastAsia="FangSong_GB2312"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2"/>
    </w:rPr>
  </w:style>
  <w:style w:type="paragraph" w:styleId="a4">
    <w:name w:val="Body Text"/>
    <w:basedOn w:val="a"/>
    <w:semiHidden/>
    <w:qFormat/>
    <w:rPr>
      <w:rFonts w:ascii="仿宋" w:eastAsia="仿宋" w:hAnsi="仿宋" w:cs="仿宋"/>
      <w:sz w:val="31"/>
      <w:szCs w:val="31"/>
      <w:lang w:eastAsia="en-US"/>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page number"/>
    <w:qFormat/>
  </w:style>
  <w:style w:type="character" w:styleId="aa">
    <w:name w:val="annotation reference"/>
    <w:qFormat/>
    <w:rPr>
      <w:sz w:val="21"/>
      <w:szCs w:val="21"/>
    </w:rPr>
  </w:style>
  <w:style w:type="character" w:customStyle="1" w:styleId="Char">
    <w:name w:val="批注文字 Char"/>
    <w:link w:val="a3"/>
    <w:qFormat/>
    <w:rPr>
      <w:kern w:val="2"/>
      <w:sz w:val="21"/>
      <w:szCs w:val="22"/>
    </w:rPr>
  </w:style>
  <w:style w:type="character" w:customStyle="1" w:styleId="Char0">
    <w:name w:val="批注框文本 Char"/>
    <w:link w:val="a5"/>
    <w:qFormat/>
    <w:rPr>
      <w:sz w:val="18"/>
      <w:szCs w:val="18"/>
    </w:rPr>
  </w:style>
  <w:style w:type="character" w:customStyle="1" w:styleId="Char1">
    <w:name w:val="页脚 Char"/>
    <w:link w:val="a6"/>
    <w:uiPriority w:val="99"/>
    <w:qFormat/>
    <w:rPr>
      <w:sz w:val="18"/>
      <w:szCs w:val="18"/>
    </w:rPr>
  </w:style>
  <w:style w:type="character" w:customStyle="1" w:styleId="Char2">
    <w:name w:val="页眉 Char"/>
    <w:link w:val="a7"/>
    <w:qFormat/>
    <w:rPr>
      <w:sz w:val="18"/>
      <w:szCs w:val="18"/>
    </w:rPr>
  </w:style>
  <w:style w:type="character" w:customStyle="1" w:styleId="Char3">
    <w:name w:val="批注主题 Char"/>
    <w:link w:val="a8"/>
    <w:qFormat/>
    <w:rPr>
      <w:b/>
      <w:bCs/>
    </w:rPr>
  </w:style>
  <w:style w:type="paragraph" w:customStyle="1" w:styleId="Char4">
    <w:name w:val="Char"/>
    <w:basedOn w:val="a"/>
    <w:qFormat/>
    <w:pPr>
      <w:tabs>
        <w:tab w:val="left" w:pos="360"/>
      </w:tabs>
    </w:pPr>
    <w:rPr>
      <w:szCs w:val="20"/>
    </w:rPr>
  </w:style>
  <w:style w:type="paragraph" w:customStyle="1" w:styleId="Default">
    <w:name w:val="Default"/>
    <w:qFormat/>
    <w:pPr>
      <w:widowControl w:val="0"/>
      <w:autoSpaceDE w:val="0"/>
      <w:autoSpaceDN w:val="0"/>
    </w:pPr>
    <w:rPr>
      <w:rFonts w:ascii="宋体" w:hAnsi="宋体" w:hint="eastAsia"/>
      <w:color w:val="000000"/>
      <w:sz w:val="24"/>
    </w:rPr>
  </w:style>
  <w:style w:type="paragraph" w:customStyle="1" w:styleId="content">
    <w:name w:val="content"/>
    <w:basedOn w:val="Default"/>
    <w:next w:val="Default"/>
    <w:qFormat/>
    <w:rPr>
      <w:rFonts w:hint="default"/>
    </w:rPr>
  </w:style>
  <w:style w:type="paragraph" w:customStyle="1" w:styleId="1">
    <w:name w:val="修订1"/>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qzl/AppData/Local/Temp/ksohtml9028/wps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562</Words>
  <Characters>3204</Characters>
  <Application>Microsoft Office Word</Application>
  <DocSecurity>0</DocSecurity>
  <Lines>26</Lines>
  <Paragraphs>7</Paragraphs>
  <ScaleCrop>false</ScaleCrop>
  <Company>gsi.cn</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李靖</dc:creator>
  <cp:lastModifiedBy>dshbgs</cp:lastModifiedBy>
  <cp:revision>17</cp:revision>
  <cp:lastPrinted>2024-04-08T08:38:00Z</cp:lastPrinted>
  <dcterms:created xsi:type="dcterms:W3CDTF">2023-10-06T13:02:00Z</dcterms:created>
  <dcterms:modified xsi:type="dcterms:W3CDTF">2024-04-25T10:04:00Z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89F4CC9B276047F8B16634FAEE04F950</vt:lpwstr>
  </property>
  <property fmtid="{D5CDD505-2E9C-101B-9397-08002B2CF9AE}" pid="4" name="Plato EditorId">
    <vt:lpwstr>6eaaa627-9ba0-49c9-a8ac-fc7e5e8257cc</vt:lpwstr>
  </property>
  <property fmtid="{D5CDD505-2E9C-101B-9397-08002B2CF9AE}" pid="5" name="Plato Matter Owner Designation">
    <vt:lpwstr/>
  </property>
  <property fmtid="{D5CDD505-2E9C-101B-9397-08002B2CF9AE}" pid="6" name="Reference">
    <vt:lpwstr/>
  </property>
</Properties>
</file>