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F28F" w14:textId="77777777" w:rsidR="007A3D0C" w:rsidRPr="000150B6" w:rsidRDefault="007A3D0C" w:rsidP="007A3D0C">
      <w:pPr>
        <w:jc w:val="both"/>
        <w:rPr>
          <w:rFonts w:ascii="Times New Roman" w:hAnsi="Times New Roman" w:cs="Times New Roman"/>
          <w:i/>
          <w:iCs/>
        </w:rPr>
      </w:pPr>
      <w:r w:rsidRPr="000150B6">
        <w:rPr>
          <w:rFonts w:ascii="Times New Roman" w:hAnsi="Times New Roman" w:cs="Times New Roman"/>
          <w:i/>
          <w:iC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2714511C" w14:textId="77777777" w:rsidR="007A3D0C" w:rsidRPr="000150B6" w:rsidRDefault="007A3D0C" w:rsidP="007A3D0C">
      <w:pPr>
        <w:jc w:val="both"/>
        <w:rPr>
          <w:rFonts w:ascii="Times New Roman" w:hAnsi="Times New Roman" w:cs="Times New Roman"/>
          <w:b/>
          <w:bCs/>
          <w:i/>
          <w:iCs/>
        </w:rPr>
      </w:pPr>
    </w:p>
    <w:p w14:paraId="51786E12" w14:textId="414E7E8D" w:rsidR="007A3D0C" w:rsidRDefault="00D92D96" w:rsidP="007A3D0C">
      <w:pPr>
        <w:autoSpaceDE w:val="0"/>
        <w:autoSpaceDN w:val="0"/>
        <w:adjustRightInd w:val="0"/>
        <w:spacing w:after="0" w:line="240" w:lineRule="auto"/>
        <w:jc w:val="center"/>
        <w:rPr>
          <w:rFonts w:ascii="TimesLTStd-Bold" w:hAnsi="TimesLTStd-Bold" w:cs="TimesLTStd-Bold"/>
          <w:b/>
          <w:bCs/>
          <w:sz w:val="28"/>
          <w:szCs w:val="28"/>
        </w:rPr>
      </w:pPr>
      <w:r w:rsidRPr="00D92D96">
        <w:rPr>
          <w:rFonts w:ascii="Times New Roman" w:hAnsi="Times New Roman" w:cs="Times New Roman"/>
          <w:b/>
          <w:bCs/>
          <w:noProof/>
          <w:sz w:val="28"/>
          <w:szCs w:val="28"/>
        </w:rPr>
        <w:drawing>
          <wp:inline distT="0" distB="0" distL="0" distR="0" wp14:anchorId="7B59C82D" wp14:editId="247F5176">
            <wp:extent cx="3816626" cy="1731320"/>
            <wp:effectExtent l="0" t="0" r="0" b="2540"/>
            <wp:docPr id="121689734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897349" name=""/>
                    <pic:cNvPicPr/>
                  </pic:nvPicPr>
                  <pic:blipFill>
                    <a:blip r:embed="rId7"/>
                    <a:stretch>
                      <a:fillRect/>
                    </a:stretch>
                  </pic:blipFill>
                  <pic:spPr>
                    <a:xfrm>
                      <a:off x="0" y="0"/>
                      <a:ext cx="3845117" cy="1744244"/>
                    </a:xfrm>
                    <a:prstGeom prst="rect">
                      <a:avLst/>
                    </a:prstGeom>
                  </pic:spPr>
                </pic:pic>
              </a:graphicData>
            </a:graphic>
          </wp:inline>
        </w:drawing>
      </w:r>
      <w:r w:rsidR="007A3D0C" w:rsidRPr="000150B6">
        <w:rPr>
          <w:rFonts w:ascii="Times New Roman" w:hAnsi="Times New Roman" w:cs="Times New Roman"/>
          <w:b/>
          <w:bCs/>
        </w:rPr>
        <w:br/>
      </w:r>
    </w:p>
    <w:p w14:paraId="14238CA5" w14:textId="308A13AF" w:rsidR="004F2E5B" w:rsidRDefault="004F2E5B" w:rsidP="004F2E5B">
      <w:pPr>
        <w:autoSpaceDE w:val="0"/>
        <w:autoSpaceDN w:val="0"/>
        <w:adjustRightInd w:val="0"/>
        <w:spacing w:after="0" w:line="240" w:lineRule="auto"/>
        <w:jc w:val="center"/>
        <w:rPr>
          <w:rFonts w:ascii="TimesLTStd-Bold" w:hAnsi="TimesLTStd-Bold" w:cs="TimesLTStd-Bold"/>
          <w:b/>
          <w:bCs/>
          <w:sz w:val="28"/>
          <w:szCs w:val="28"/>
        </w:rPr>
      </w:pPr>
      <w:r>
        <w:rPr>
          <w:rFonts w:ascii="TimesLTStd-Bold" w:hAnsi="TimesLTStd-Bold" w:cs="TimesLTStd-Bold"/>
          <w:b/>
          <w:bCs/>
          <w:sz w:val="28"/>
          <w:szCs w:val="28"/>
        </w:rPr>
        <w:t>INSIDE INFORMATION –</w:t>
      </w:r>
      <w:r w:rsidR="0081656F">
        <w:rPr>
          <w:rFonts w:ascii="TimesLTStd-Bold" w:hAnsi="TimesLTStd-Bold" w:cs="TimesLTStd-Bold"/>
          <w:b/>
          <w:bCs/>
          <w:sz w:val="28"/>
          <w:szCs w:val="28"/>
        </w:rPr>
        <w:t xml:space="preserve"> </w:t>
      </w:r>
      <w:r w:rsidR="000F76B1">
        <w:rPr>
          <w:rFonts w:ascii="TimesLTStd-Bold" w:hAnsi="TimesLTStd-Bold" w:cs="TimesLTStd-Bold"/>
          <w:b/>
          <w:bCs/>
          <w:sz w:val="28"/>
          <w:szCs w:val="28"/>
        </w:rPr>
        <w:t>WITHDRAWAL OF</w:t>
      </w:r>
      <w:r w:rsidR="00FE6102">
        <w:rPr>
          <w:rFonts w:ascii="TimesLTStd-Bold" w:hAnsi="TimesLTStd-Bold" w:cs="TimesLTStd-Bold"/>
          <w:b/>
          <w:bCs/>
          <w:sz w:val="28"/>
          <w:szCs w:val="28"/>
        </w:rPr>
        <w:t xml:space="preserve"> THE </w:t>
      </w:r>
      <w:r w:rsidR="0081656F">
        <w:rPr>
          <w:rFonts w:ascii="TimesLTStd-Bold" w:hAnsi="TimesLTStd-Bold" w:cs="TimesLTStd-Bold"/>
          <w:b/>
          <w:bCs/>
          <w:sz w:val="28"/>
          <w:szCs w:val="28"/>
        </w:rPr>
        <w:t xml:space="preserve">WINDING-UP </w:t>
      </w:r>
      <w:r w:rsidR="00FE6102">
        <w:rPr>
          <w:rFonts w:ascii="TimesLTStd-Bold" w:hAnsi="TimesLTStd-Bold" w:cs="TimesLTStd-Bold"/>
          <w:b/>
          <w:bCs/>
          <w:sz w:val="28"/>
          <w:szCs w:val="28"/>
        </w:rPr>
        <w:t>PETITION</w:t>
      </w:r>
    </w:p>
    <w:p w14:paraId="32D76332" w14:textId="77777777" w:rsidR="00773235" w:rsidRDefault="00773235" w:rsidP="004F2E5B">
      <w:pPr>
        <w:autoSpaceDE w:val="0"/>
        <w:autoSpaceDN w:val="0"/>
        <w:adjustRightInd w:val="0"/>
        <w:spacing w:after="0" w:line="240" w:lineRule="auto"/>
        <w:jc w:val="center"/>
        <w:rPr>
          <w:rFonts w:ascii="TimesLTStd-Bold" w:hAnsi="TimesLTStd-Bold" w:cs="TimesLTStd-Bold"/>
          <w:b/>
          <w:bCs/>
          <w:sz w:val="28"/>
          <w:szCs w:val="28"/>
        </w:rPr>
      </w:pPr>
    </w:p>
    <w:p w14:paraId="0C05330F" w14:textId="77777777" w:rsidR="004F2E5B" w:rsidRDefault="004F2E5B" w:rsidP="00FD2848">
      <w:pPr>
        <w:autoSpaceDE w:val="0"/>
        <w:autoSpaceDN w:val="0"/>
        <w:adjustRightInd w:val="0"/>
        <w:spacing w:after="0" w:line="240" w:lineRule="auto"/>
        <w:jc w:val="both"/>
        <w:rPr>
          <w:rFonts w:ascii="TimesLTStd-Roman" w:hAnsi="TimesLTStd-Roman" w:cs="TimesLTStd-Roman"/>
          <w:sz w:val="24"/>
          <w:szCs w:val="24"/>
        </w:rPr>
      </w:pPr>
      <w:r>
        <w:rPr>
          <w:rFonts w:ascii="TimesLTStd-Roman" w:hAnsi="TimesLTStd-Roman" w:cs="TimesLTStd-Roman"/>
          <w:sz w:val="24"/>
          <w:szCs w:val="24"/>
        </w:rPr>
        <w:t>This announcement is issued by Alco Holdings Limited (the “</w:t>
      </w:r>
      <w:r>
        <w:rPr>
          <w:rFonts w:ascii="TimesLTStd-Bold" w:hAnsi="TimesLTStd-Bold" w:cs="TimesLTStd-Bold"/>
          <w:b/>
          <w:bCs/>
          <w:sz w:val="24"/>
          <w:szCs w:val="24"/>
        </w:rPr>
        <w:t>Company</w:t>
      </w:r>
      <w:r>
        <w:rPr>
          <w:rFonts w:ascii="TimesLTStd-Roman" w:hAnsi="TimesLTStd-Roman" w:cs="TimesLTStd-Roman"/>
          <w:sz w:val="24"/>
          <w:szCs w:val="24"/>
        </w:rPr>
        <w:t>”) pursuant to Rules 13.09 and 13.25 of the Rules Governing the Listing of Securities (the “</w:t>
      </w:r>
      <w:r>
        <w:rPr>
          <w:rFonts w:ascii="TimesLTStd-Bold" w:hAnsi="TimesLTStd-Bold" w:cs="TimesLTStd-Bold"/>
          <w:b/>
          <w:bCs/>
          <w:sz w:val="24"/>
          <w:szCs w:val="24"/>
        </w:rPr>
        <w:t>Listing Rules</w:t>
      </w:r>
      <w:r>
        <w:rPr>
          <w:rFonts w:ascii="TimesLTStd-Roman" w:hAnsi="TimesLTStd-Roman" w:cs="TimesLTStd-Roman"/>
          <w:sz w:val="24"/>
          <w:szCs w:val="24"/>
        </w:rPr>
        <w:t>”) on The Stock Exchange of Hong Kong Limited (the “</w:t>
      </w:r>
      <w:r>
        <w:rPr>
          <w:rFonts w:ascii="TimesLTStd-Bold" w:hAnsi="TimesLTStd-Bold" w:cs="TimesLTStd-Bold"/>
          <w:b/>
          <w:bCs/>
          <w:sz w:val="24"/>
          <w:szCs w:val="24"/>
        </w:rPr>
        <w:t>Stock Exchange</w:t>
      </w:r>
      <w:r>
        <w:rPr>
          <w:rFonts w:ascii="TimesLTStd-Roman" w:hAnsi="TimesLTStd-Roman" w:cs="TimesLTStd-Roman"/>
          <w:sz w:val="24"/>
          <w:szCs w:val="24"/>
        </w:rPr>
        <w:t>”) and the Inside Information Provisions (as defined under the Listing Rules) under Part XIVA of the Securities and Futures Ordinance (Chapter 571 of the Laws of Hong Kong).</w:t>
      </w:r>
    </w:p>
    <w:p w14:paraId="13A2B2FE" w14:textId="77777777" w:rsidR="008962C3" w:rsidRPr="004F2E5B" w:rsidRDefault="008962C3" w:rsidP="00FD2848">
      <w:pPr>
        <w:autoSpaceDE w:val="0"/>
        <w:autoSpaceDN w:val="0"/>
        <w:adjustRightInd w:val="0"/>
        <w:spacing w:after="0" w:line="240" w:lineRule="auto"/>
        <w:jc w:val="both"/>
        <w:rPr>
          <w:rFonts w:ascii="TimesLTStd-Bold" w:eastAsia="SimSun" w:hAnsi="TimesLTStd-Bold" w:cs="TimesLTStd-Bold"/>
          <w:b/>
          <w:bCs/>
          <w:sz w:val="24"/>
          <w:szCs w:val="24"/>
          <w:lang w:eastAsia="zh-CN"/>
        </w:rPr>
      </w:pPr>
    </w:p>
    <w:p w14:paraId="0F105E46" w14:textId="7BF9E4B5" w:rsidR="0081064F" w:rsidRPr="00A31F04" w:rsidRDefault="0081064F" w:rsidP="0081064F">
      <w:pPr>
        <w:autoSpaceDE w:val="0"/>
        <w:autoSpaceDN w:val="0"/>
        <w:adjustRightInd w:val="0"/>
        <w:spacing w:after="0" w:line="240" w:lineRule="auto"/>
        <w:jc w:val="both"/>
        <w:rPr>
          <w:rFonts w:ascii="TimesLTStd-Roman" w:hAnsi="TimesLTStd-Roman" w:cs="TimesLTStd-Roman"/>
          <w:sz w:val="24"/>
          <w:szCs w:val="24"/>
        </w:rPr>
      </w:pPr>
      <w:r w:rsidRPr="00A31F04">
        <w:rPr>
          <w:rFonts w:ascii="TimesLTStd-Roman" w:hAnsi="TimesLTStd-Roman" w:cs="TimesLTStd-Roman"/>
          <w:sz w:val="24"/>
          <w:szCs w:val="24"/>
        </w:rPr>
        <w:t>Reference is made to the announcements of the Company dated 31 August 2023</w:t>
      </w:r>
      <w:r>
        <w:rPr>
          <w:rFonts w:ascii="TimesLTStd-Roman" w:hAnsi="TimesLTStd-Roman" w:cs="TimesLTStd-Roman"/>
          <w:sz w:val="24"/>
          <w:szCs w:val="24"/>
        </w:rPr>
        <w:t xml:space="preserve">, </w:t>
      </w:r>
      <w:r w:rsidRPr="00A31F04">
        <w:rPr>
          <w:rFonts w:ascii="TimesLTStd-Roman" w:hAnsi="TimesLTStd-Roman" w:cs="TimesLTStd-Roman"/>
          <w:sz w:val="24"/>
          <w:szCs w:val="24"/>
        </w:rPr>
        <w:t>22 September 2023</w:t>
      </w:r>
      <w:r>
        <w:rPr>
          <w:rFonts w:ascii="TimesLTStd-Roman" w:hAnsi="TimesLTStd-Roman" w:cs="TimesLTStd-Roman"/>
          <w:sz w:val="24"/>
          <w:szCs w:val="24"/>
        </w:rPr>
        <w:t>, 25 October 2023</w:t>
      </w:r>
      <w:r w:rsidR="00ED57C1">
        <w:rPr>
          <w:rFonts w:ascii="TimesLTStd-Roman" w:hAnsi="TimesLTStd-Roman" w:cs="TimesLTStd-Roman"/>
          <w:sz w:val="24"/>
          <w:szCs w:val="24"/>
        </w:rPr>
        <w:t>,</w:t>
      </w:r>
      <w:r>
        <w:rPr>
          <w:rFonts w:ascii="TimesLTStd-Roman" w:hAnsi="TimesLTStd-Roman" w:cs="TimesLTStd-Roman" w:hint="eastAsia"/>
          <w:sz w:val="24"/>
          <w:szCs w:val="24"/>
        </w:rPr>
        <w:t xml:space="preserve"> </w:t>
      </w:r>
      <w:r>
        <w:rPr>
          <w:rFonts w:ascii="TimesLTStd-Roman" w:hAnsi="TimesLTStd-Roman" w:cs="TimesLTStd-Roman"/>
          <w:sz w:val="24"/>
          <w:szCs w:val="24"/>
        </w:rPr>
        <w:t xml:space="preserve">1 November 2023 </w:t>
      </w:r>
      <w:r w:rsidR="00276718" w:rsidRPr="00276718">
        <w:rPr>
          <w:rFonts w:ascii="TimesLTStd-Roman" w:hAnsi="TimesLTStd-Roman" w:cs="TimesLTStd-Roman"/>
          <w:sz w:val="24"/>
          <w:szCs w:val="24"/>
        </w:rPr>
        <w:t>3, 3 January 2024</w:t>
      </w:r>
      <w:r w:rsidR="00276718">
        <w:rPr>
          <w:rFonts w:ascii="TimesLTStd-Roman" w:hAnsi="TimesLTStd-Roman" w:cs="TimesLTStd-Roman"/>
          <w:sz w:val="24"/>
          <w:szCs w:val="24"/>
        </w:rPr>
        <w:t>,</w:t>
      </w:r>
      <w:r w:rsidR="00276718" w:rsidRPr="00276718">
        <w:rPr>
          <w:rFonts w:ascii="TimesLTStd-Roman" w:hAnsi="TimesLTStd-Roman" w:cs="TimesLTStd-Roman"/>
          <w:sz w:val="24"/>
          <w:szCs w:val="24"/>
        </w:rPr>
        <w:t xml:space="preserve"> 24 January 2024</w:t>
      </w:r>
      <w:r w:rsidR="00480837">
        <w:rPr>
          <w:rFonts w:ascii="TimesLTStd-Roman" w:hAnsi="TimesLTStd-Roman" w:cs="TimesLTStd-Roman"/>
          <w:sz w:val="24"/>
          <w:szCs w:val="24"/>
        </w:rPr>
        <w:t xml:space="preserve"> </w:t>
      </w:r>
      <w:r w:rsidR="00480837" w:rsidRPr="00276718">
        <w:rPr>
          <w:rFonts w:ascii="TimesLTStd-Roman" w:hAnsi="TimesLTStd-Roman" w:cs="TimesLTStd-Roman"/>
          <w:sz w:val="24"/>
          <w:szCs w:val="24"/>
        </w:rPr>
        <w:t>and</w:t>
      </w:r>
      <w:r w:rsidR="00276718" w:rsidRPr="00276718">
        <w:rPr>
          <w:rFonts w:ascii="TimesLTStd-Roman" w:hAnsi="TimesLTStd-Roman" w:cs="TimesLTStd-Roman"/>
          <w:sz w:val="24"/>
          <w:szCs w:val="24"/>
        </w:rPr>
        <w:t xml:space="preserve"> </w:t>
      </w:r>
      <w:r w:rsidR="00276718">
        <w:rPr>
          <w:rFonts w:ascii="TimesLTStd-Roman" w:hAnsi="TimesLTStd-Roman" w:cs="TimesLTStd-Roman"/>
          <w:sz w:val="24"/>
          <w:szCs w:val="24"/>
        </w:rPr>
        <w:t xml:space="preserve">6 March 2024 </w:t>
      </w:r>
      <w:r w:rsidRPr="00A31F04">
        <w:rPr>
          <w:rFonts w:ascii="TimesLTStd-Roman" w:hAnsi="TimesLTStd-Roman" w:cs="TimesLTStd-Roman"/>
          <w:sz w:val="24"/>
          <w:szCs w:val="24"/>
        </w:rPr>
        <w:t>in relation to the winding up petition filed by Shanghai Commercial Bank Limited against the</w:t>
      </w:r>
      <w:r>
        <w:rPr>
          <w:rFonts w:ascii="TimesLTStd-Roman" w:hAnsi="TimesLTStd-Roman" w:cs="TimesLTStd-Roman" w:hint="eastAsia"/>
          <w:sz w:val="24"/>
          <w:szCs w:val="24"/>
        </w:rPr>
        <w:t xml:space="preserve"> </w:t>
      </w:r>
      <w:r w:rsidRPr="00A31F04">
        <w:rPr>
          <w:rFonts w:ascii="TimesLTStd-Roman" w:hAnsi="TimesLTStd-Roman" w:cs="TimesLTStd-Roman"/>
          <w:sz w:val="24"/>
          <w:szCs w:val="24"/>
        </w:rPr>
        <w:t>Company</w:t>
      </w:r>
      <w:r w:rsidRPr="00B13CA8">
        <w:rPr>
          <w:rFonts w:ascii="TimesLTStd-Roman" w:hAnsi="TimesLTStd-Roman" w:cs="TimesLTStd-Roman"/>
          <w:sz w:val="24"/>
          <w:szCs w:val="24"/>
        </w:rPr>
        <w:t xml:space="preserve"> </w:t>
      </w:r>
      <w:r w:rsidRPr="008962C3">
        <w:rPr>
          <w:rFonts w:ascii="TimesLTStd-Roman" w:hAnsi="TimesLTStd-Roman" w:cs="TimesLTStd-Roman"/>
          <w:sz w:val="24"/>
          <w:szCs w:val="24"/>
        </w:rPr>
        <w:t>(the “</w:t>
      </w:r>
      <w:r w:rsidRPr="008962C3">
        <w:rPr>
          <w:rFonts w:ascii="TimesLTStd-Roman" w:hAnsi="TimesLTStd-Roman" w:cs="TimesLTStd-Roman"/>
          <w:b/>
          <w:bCs/>
          <w:sz w:val="24"/>
          <w:szCs w:val="24"/>
        </w:rPr>
        <w:t>Announcement</w:t>
      </w:r>
      <w:r>
        <w:rPr>
          <w:rFonts w:ascii="TimesLTStd-Roman" w:hAnsi="TimesLTStd-Roman" w:cs="TimesLTStd-Roman"/>
          <w:b/>
          <w:bCs/>
          <w:sz w:val="24"/>
          <w:szCs w:val="24"/>
        </w:rPr>
        <w:t>s</w:t>
      </w:r>
      <w:r w:rsidRPr="008962C3">
        <w:rPr>
          <w:rFonts w:ascii="TimesLTStd-Roman" w:hAnsi="TimesLTStd-Roman" w:cs="TimesLTStd-Roman"/>
          <w:sz w:val="24"/>
          <w:szCs w:val="24"/>
        </w:rPr>
        <w:t>”). Unless the</w:t>
      </w:r>
      <w:r>
        <w:rPr>
          <w:rFonts w:ascii="TimesLTStd-Roman" w:hAnsi="TimesLTStd-Roman" w:cs="TimesLTStd-Roman" w:hint="eastAsia"/>
          <w:sz w:val="24"/>
          <w:szCs w:val="24"/>
        </w:rPr>
        <w:t xml:space="preserve"> </w:t>
      </w:r>
      <w:r w:rsidRPr="008962C3">
        <w:rPr>
          <w:rFonts w:ascii="TimesLTStd-Roman" w:hAnsi="TimesLTStd-Roman" w:cs="TimesLTStd-Roman"/>
          <w:sz w:val="24"/>
          <w:szCs w:val="24"/>
        </w:rPr>
        <w:t>context otherwise specified, capitalised terms used herein shall have the same meanings as</w:t>
      </w:r>
      <w:r>
        <w:rPr>
          <w:rFonts w:ascii="TimesLTStd-Roman" w:hAnsi="TimesLTStd-Roman" w:cs="TimesLTStd-Roman" w:hint="eastAsia"/>
          <w:sz w:val="24"/>
          <w:szCs w:val="24"/>
        </w:rPr>
        <w:t xml:space="preserve"> </w:t>
      </w:r>
      <w:r w:rsidRPr="008962C3">
        <w:rPr>
          <w:rFonts w:ascii="TimesLTStd-Roman" w:hAnsi="TimesLTStd-Roman" w:cs="TimesLTStd-Roman"/>
          <w:sz w:val="24"/>
          <w:szCs w:val="24"/>
        </w:rPr>
        <w:t>those defined in the Announcement</w:t>
      </w:r>
      <w:r>
        <w:rPr>
          <w:rFonts w:ascii="TimesLTStd-Roman" w:hAnsi="TimesLTStd-Roman" w:cs="TimesLTStd-Roman"/>
          <w:sz w:val="24"/>
          <w:szCs w:val="24"/>
        </w:rPr>
        <w:t>s</w:t>
      </w:r>
      <w:r w:rsidRPr="008962C3">
        <w:rPr>
          <w:rFonts w:ascii="TimesLTStd-Roman" w:hAnsi="TimesLTStd-Roman" w:cs="TimesLTStd-Roman"/>
          <w:sz w:val="24"/>
          <w:szCs w:val="24"/>
        </w:rPr>
        <w:t>.</w:t>
      </w:r>
    </w:p>
    <w:p w14:paraId="5AFC38B3" w14:textId="77777777" w:rsidR="008962C3" w:rsidRPr="0081064F" w:rsidRDefault="008962C3" w:rsidP="008962C3">
      <w:pPr>
        <w:autoSpaceDE w:val="0"/>
        <w:autoSpaceDN w:val="0"/>
        <w:adjustRightInd w:val="0"/>
        <w:spacing w:after="0" w:line="240" w:lineRule="auto"/>
        <w:jc w:val="both"/>
        <w:rPr>
          <w:rFonts w:ascii="TimesLTStd-Roman" w:hAnsi="TimesLTStd-Roman" w:cs="TimesLTStd-Roman"/>
          <w:sz w:val="24"/>
          <w:szCs w:val="24"/>
        </w:rPr>
      </w:pPr>
    </w:p>
    <w:p w14:paraId="79A7D14D" w14:textId="0D7EFD33" w:rsidR="00276718" w:rsidRDefault="00276718" w:rsidP="00FE6102">
      <w:pPr>
        <w:autoSpaceDE w:val="0"/>
        <w:autoSpaceDN w:val="0"/>
        <w:adjustRightInd w:val="0"/>
        <w:spacing w:after="0" w:line="240" w:lineRule="auto"/>
        <w:jc w:val="both"/>
        <w:rPr>
          <w:rFonts w:ascii="TimesLTStd-Roman" w:hAnsi="TimesLTStd-Roman" w:cs="TimesLTStd-Roman"/>
          <w:sz w:val="24"/>
          <w:szCs w:val="24"/>
        </w:rPr>
      </w:pPr>
      <w:r w:rsidRPr="008962C3">
        <w:rPr>
          <w:rFonts w:ascii="TimesLTStd-Roman" w:hAnsi="TimesLTStd-Roman" w:cs="TimesLTStd-Roman"/>
          <w:sz w:val="24"/>
          <w:szCs w:val="24"/>
        </w:rPr>
        <w:t xml:space="preserve">The </w:t>
      </w:r>
      <w:r>
        <w:rPr>
          <w:rFonts w:ascii="TimesLTStd-Roman" w:hAnsi="TimesLTStd-Roman" w:cs="TimesLTStd-Roman"/>
          <w:sz w:val="24"/>
          <w:szCs w:val="24"/>
        </w:rPr>
        <w:t>Company</w:t>
      </w:r>
      <w:r w:rsidRPr="008962C3">
        <w:rPr>
          <w:rFonts w:ascii="TimesLTStd-Roman" w:hAnsi="TimesLTStd-Roman" w:cs="TimesLTStd-Roman"/>
          <w:sz w:val="24"/>
          <w:szCs w:val="24"/>
        </w:rPr>
        <w:t xml:space="preserve"> </w:t>
      </w:r>
      <w:r>
        <w:rPr>
          <w:rFonts w:ascii="TimesLTStd-Roman" w:hAnsi="TimesLTStd-Roman" w:cs="TimesLTStd-Roman"/>
          <w:sz w:val="24"/>
          <w:szCs w:val="24"/>
        </w:rPr>
        <w:t xml:space="preserve">hereby </w:t>
      </w:r>
      <w:r w:rsidRPr="008962C3">
        <w:rPr>
          <w:rFonts w:ascii="TimesLTStd-Roman" w:hAnsi="TimesLTStd-Roman" w:cs="TimesLTStd-Roman"/>
          <w:sz w:val="24"/>
          <w:szCs w:val="24"/>
        </w:rPr>
        <w:t>announces that</w:t>
      </w:r>
      <w:bookmarkStart w:id="0" w:name="OLE_LINK1"/>
      <w:r w:rsidRPr="008962C3">
        <w:rPr>
          <w:rFonts w:ascii="TimesLTStd-Roman" w:hAnsi="TimesLTStd-Roman" w:cs="TimesLTStd-Roman"/>
          <w:sz w:val="24"/>
          <w:szCs w:val="24"/>
        </w:rPr>
        <w:t xml:space="preserve"> </w:t>
      </w:r>
      <w:r w:rsidR="000F76B1">
        <w:rPr>
          <w:rFonts w:ascii="TimesLTStd-Roman" w:hAnsi="TimesLTStd-Roman" w:cs="TimesLTStd-Roman"/>
          <w:sz w:val="24"/>
          <w:szCs w:val="24"/>
        </w:rPr>
        <w:t>during</w:t>
      </w:r>
      <w:r w:rsidR="00092BD8">
        <w:rPr>
          <w:rFonts w:ascii="TimesLTStd-Roman" w:hAnsi="TimesLTStd-Roman" w:cs="TimesLTStd-Roman"/>
          <w:sz w:val="24"/>
          <w:szCs w:val="24"/>
        </w:rPr>
        <w:t xml:space="preserve"> today’s hearing</w:t>
      </w:r>
      <w:bookmarkEnd w:id="0"/>
      <w:r w:rsidR="00092BD8">
        <w:rPr>
          <w:rFonts w:ascii="TimesLTStd-Roman" w:hAnsi="TimesLTStd-Roman" w:cs="TimesLTStd-Roman"/>
          <w:sz w:val="24"/>
          <w:szCs w:val="24"/>
        </w:rPr>
        <w:t>, both parties agreed on the legal costs and the Petition is fully withdrawn</w:t>
      </w:r>
      <w:r w:rsidRPr="004801FB">
        <w:rPr>
          <w:rFonts w:ascii="TimesLTStd-Roman" w:hAnsi="TimesLTStd-Roman" w:cs="TimesLTStd-Roman"/>
          <w:sz w:val="24"/>
          <w:szCs w:val="24"/>
        </w:rPr>
        <w:t>.</w:t>
      </w:r>
    </w:p>
    <w:p w14:paraId="1A42CA9D" w14:textId="77777777" w:rsidR="00276718" w:rsidRDefault="00276718" w:rsidP="00FE6102">
      <w:pPr>
        <w:autoSpaceDE w:val="0"/>
        <w:autoSpaceDN w:val="0"/>
        <w:adjustRightInd w:val="0"/>
        <w:spacing w:after="0" w:line="240" w:lineRule="auto"/>
        <w:jc w:val="both"/>
        <w:rPr>
          <w:rFonts w:ascii="TimesLTStd-Roman" w:hAnsi="TimesLTStd-Roman" w:cs="TimesLTStd-Roman"/>
          <w:sz w:val="24"/>
          <w:szCs w:val="24"/>
        </w:rPr>
      </w:pPr>
    </w:p>
    <w:p w14:paraId="1DD7CAC8" w14:textId="77777777" w:rsidR="0081064F" w:rsidRDefault="0081064F" w:rsidP="004F15E9">
      <w:pPr>
        <w:autoSpaceDE w:val="0"/>
        <w:autoSpaceDN w:val="0"/>
        <w:adjustRightInd w:val="0"/>
        <w:spacing w:after="0" w:line="240" w:lineRule="auto"/>
        <w:jc w:val="both"/>
        <w:rPr>
          <w:rFonts w:ascii="TimesLTStd-Roman" w:hAnsi="TimesLTStd-Roman" w:cs="TimesLTStd-Roman"/>
          <w:sz w:val="24"/>
          <w:szCs w:val="24"/>
        </w:rPr>
      </w:pPr>
    </w:p>
    <w:p w14:paraId="491FCD00" w14:textId="77777777" w:rsidR="004F15E9" w:rsidRDefault="004F15E9" w:rsidP="004F15E9">
      <w:pPr>
        <w:autoSpaceDE w:val="0"/>
        <w:autoSpaceDN w:val="0"/>
        <w:adjustRightInd w:val="0"/>
        <w:spacing w:after="0" w:line="240" w:lineRule="auto"/>
        <w:jc w:val="both"/>
        <w:rPr>
          <w:rFonts w:ascii="TimesLTStd-Roman" w:hAnsi="TimesLTStd-Roman" w:cs="TimesLTStd-Roman"/>
          <w:sz w:val="24"/>
          <w:szCs w:val="24"/>
        </w:rPr>
      </w:pPr>
    </w:p>
    <w:p w14:paraId="64084E57" w14:textId="576BCF23" w:rsidR="007A3D0C" w:rsidRPr="000150B6" w:rsidRDefault="007A3D0C" w:rsidP="007A3D0C">
      <w:pPr>
        <w:jc w:val="both"/>
        <w:rPr>
          <w:rFonts w:ascii="Times New Roman" w:eastAsia="DengXian" w:hAnsi="Times New Roman" w:cs="Times New Roman"/>
          <w:lang w:eastAsia="zh-CN"/>
        </w:rPr>
      </w:pPr>
      <w:r w:rsidRPr="000150B6">
        <w:rPr>
          <w:rFonts w:ascii="Times New Roman" w:eastAsia="DengXian" w:hAnsi="Times New Roman" w:cs="Times New Roman"/>
          <w:noProof/>
        </w:rPr>
        <mc:AlternateContent>
          <mc:Choice Requires="wps">
            <w:drawing>
              <wp:anchor distT="45720" distB="45720" distL="114300" distR="114300" simplePos="0" relativeHeight="251659264" behindDoc="0" locked="0" layoutInCell="1" allowOverlap="1" wp14:anchorId="2E6E813E" wp14:editId="606105A2">
                <wp:simplePos x="0" y="0"/>
                <wp:positionH relativeFrom="column">
                  <wp:posOffset>4083427</wp:posOffset>
                </wp:positionH>
                <wp:positionV relativeFrom="paragraph">
                  <wp:posOffset>74790</wp:posOffset>
                </wp:positionV>
                <wp:extent cx="236093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21F717" w14:textId="3A43E398" w:rsidR="007A3D0C" w:rsidRDefault="007A3D0C" w:rsidP="007A3D0C">
                            <w:pPr>
                              <w:jc w:val="center"/>
                            </w:pPr>
                            <w:r>
                              <w:rPr>
                                <w:rFonts w:ascii="Times New Roman" w:hAnsi="Times New Roman" w:cs="Times New Roman"/>
                              </w:rPr>
                              <w:t>By Order of the Board</w:t>
                            </w:r>
                            <w:r>
                              <w:rPr>
                                <w:rFonts w:ascii="Times New Roman" w:hAnsi="Times New Roman" w:cs="Times New Roman"/>
                              </w:rPr>
                              <w:br/>
                            </w:r>
                            <w:r w:rsidRPr="00BE7024">
                              <w:rPr>
                                <w:rFonts w:ascii="Times New Roman" w:hAnsi="Times New Roman" w:cs="Times New Roman"/>
                                <w:b/>
                              </w:rPr>
                              <w:t>Alco Holdings Limited</w:t>
                            </w:r>
                            <w:r w:rsidRPr="00827AAC" w:rsidDel="00827AAC">
                              <w:rPr>
                                <w:rFonts w:ascii="Times New Roman" w:hAnsi="Times New Roman" w:cs="Times New Roman"/>
                              </w:rPr>
                              <w:t xml:space="preserve"> </w:t>
                            </w:r>
                            <w:r>
                              <w:rPr>
                                <w:rFonts w:ascii="Times New Roman" w:hAnsi="Times New Roman" w:cs="Times New Roman"/>
                              </w:rPr>
                              <w:br/>
                            </w:r>
                            <w:r w:rsidRPr="00BE7024">
                              <w:rPr>
                                <w:rFonts w:ascii="Times New Roman" w:hAnsi="Times New Roman" w:cs="Times New Roman"/>
                                <w:b/>
                              </w:rPr>
                              <w:t>L</w:t>
                            </w:r>
                            <w:r w:rsidR="008A32B9">
                              <w:rPr>
                                <w:rFonts w:ascii="Times New Roman" w:hAnsi="Times New Roman" w:cs="Times New Roman"/>
                                <w:b/>
                              </w:rPr>
                              <w:t>iang Yanan</w:t>
                            </w:r>
                            <w:r>
                              <w:rPr>
                                <w:rFonts w:ascii="Times New Roman" w:hAnsi="Times New Roman" w:cs="Times New Roman"/>
                              </w:rPr>
                              <w:br/>
                            </w:r>
                            <w:r w:rsidR="0090729D">
                              <w:rPr>
                                <w:rFonts w:ascii="Times New Roman" w:hAnsi="Times New Roman" w:cs="Times New Roman"/>
                                <w:i/>
                                <w:iCs/>
                              </w:rPr>
                              <w:t>Chairman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6E813E" id="_x0000_t202" coordsize="21600,21600" o:spt="202" path="m,l,21600r21600,l21600,xe">
                <v:stroke joinstyle="miter"/>
                <v:path gradientshapeok="t" o:connecttype="rect"/>
              </v:shapetype>
              <v:shape id="Text Box 2" o:spid="_x0000_s1026" type="#_x0000_t202" style="position:absolute;left:0;text-align:left;margin-left:321.55pt;margin-top:5.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" filled="f" stroked="f">
                <v:textbox style="mso-fit-shape-to-text:t">
                  <w:txbxContent>
                    <w:p w14:paraId="0521F717" w14:textId="3A43E398" w:rsidR="007A3D0C" w:rsidRDefault="007A3D0C" w:rsidP="007A3D0C">
                      <w:pPr>
                        <w:jc w:val="center"/>
                      </w:pPr>
                      <w:r>
                        <w:rPr>
                          <w:rFonts w:ascii="Times New Roman" w:hAnsi="Times New Roman" w:cs="Times New Roman"/>
                        </w:rPr>
                        <w:t>By Order of the Board</w:t>
                      </w:r>
                      <w:r>
                        <w:rPr>
                          <w:rFonts w:ascii="Times New Roman" w:hAnsi="Times New Roman" w:cs="Times New Roman"/>
                        </w:rPr>
                        <w:br/>
                      </w:r>
                      <w:r w:rsidRPr="00BE7024">
                        <w:rPr>
                          <w:rFonts w:ascii="Times New Roman" w:hAnsi="Times New Roman" w:cs="Times New Roman"/>
                          <w:b/>
                        </w:rPr>
                        <w:t>Alco Holdings Limited</w:t>
                      </w:r>
                      <w:r w:rsidRPr="00827AAC" w:rsidDel="00827AAC">
                        <w:rPr>
                          <w:rFonts w:ascii="Times New Roman" w:hAnsi="Times New Roman" w:cs="Times New Roman"/>
                        </w:rPr>
                        <w:t xml:space="preserve"> </w:t>
                      </w:r>
                      <w:r>
                        <w:rPr>
                          <w:rFonts w:ascii="Times New Roman" w:hAnsi="Times New Roman" w:cs="Times New Roman"/>
                        </w:rPr>
                        <w:br/>
                      </w:r>
                      <w:r w:rsidRPr="00BE7024">
                        <w:rPr>
                          <w:rFonts w:ascii="Times New Roman" w:hAnsi="Times New Roman" w:cs="Times New Roman"/>
                          <w:b/>
                        </w:rPr>
                        <w:t>L</w:t>
                      </w:r>
                      <w:r w:rsidR="008A32B9">
                        <w:rPr>
                          <w:rFonts w:ascii="Times New Roman" w:hAnsi="Times New Roman" w:cs="Times New Roman"/>
                          <w:b/>
                        </w:rPr>
                        <w:t>iang Yanan</w:t>
                      </w:r>
                      <w:r>
                        <w:rPr>
                          <w:rFonts w:ascii="Times New Roman" w:hAnsi="Times New Roman" w:cs="Times New Roman"/>
                        </w:rPr>
                        <w:br/>
                      </w:r>
                      <w:r w:rsidR="0090729D">
                        <w:rPr>
                          <w:rFonts w:ascii="Times New Roman" w:hAnsi="Times New Roman" w:cs="Times New Roman"/>
                          <w:i/>
                          <w:iCs/>
                        </w:rPr>
                        <w:t>Chairman</w:t>
                      </w:r>
                    </w:p>
                  </w:txbxContent>
                </v:textbox>
                <w10:wrap type="topAndBottom"/>
              </v:shape>
            </w:pict>
          </mc:Fallback>
        </mc:AlternateContent>
      </w:r>
      <w:r w:rsidRPr="000150B6">
        <w:rPr>
          <w:rFonts w:ascii="Times New Roman" w:eastAsia="DengXian" w:hAnsi="Times New Roman" w:cs="Times New Roman"/>
          <w:lang w:eastAsia="zh-CN"/>
        </w:rPr>
        <w:t xml:space="preserve">Hong Kong, </w:t>
      </w:r>
      <w:r w:rsidR="00092BD8">
        <w:rPr>
          <w:rFonts w:ascii="Times New Roman" w:eastAsia="DengXian" w:hAnsi="Times New Roman" w:cs="Times New Roman"/>
          <w:lang w:eastAsia="zh-CN"/>
        </w:rPr>
        <w:t>20</w:t>
      </w:r>
      <w:r w:rsidR="00276718">
        <w:rPr>
          <w:rFonts w:ascii="Times New Roman" w:eastAsia="DengXian" w:hAnsi="Times New Roman" w:cs="Times New Roman"/>
          <w:lang w:eastAsia="zh-CN"/>
        </w:rPr>
        <w:t xml:space="preserve"> March 2024</w:t>
      </w:r>
    </w:p>
    <w:p w14:paraId="2DB25B8A" w14:textId="00683EF5" w:rsidR="007A3D0C" w:rsidRPr="008A32B9" w:rsidRDefault="008A32B9" w:rsidP="008A32B9">
      <w:pPr>
        <w:jc w:val="both"/>
        <w:rPr>
          <w:rFonts w:ascii="Times New Roman" w:eastAsia="DengXian" w:hAnsi="Times New Roman" w:cs="Times New Roman"/>
          <w:i/>
          <w:iCs/>
          <w:lang w:eastAsia="zh-CN"/>
        </w:rPr>
      </w:pPr>
      <w:r w:rsidRPr="008A32B9">
        <w:rPr>
          <w:rFonts w:ascii="Times New Roman" w:eastAsia="DengXian" w:hAnsi="Times New Roman" w:cs="Times New Roman"/>
          <w:i/>
          <w:iCs/>
          <w:lang w:eastAsia="zh-CN"/>
        </w:rPr>
        <w:t>As at the date of this announcement, the executive directors of the Company are Mr. HO Chak Yu</w:t>
      </w:r>
      <w:r>
        <w:rPr>
          <w:rFonts w:ascii="Times New Roman" w:eastAsia="DengXian" w:hAnsi="Times New Roman" w:cs="Times New Roman" w:hint="eastAsia"/>
          <w:i/>
          <w:iCs/>
          <w:lang w:eastAsia="zh-CN"/>
        </w:rPr>
        <w:t xml:space="preserve"> </w:t>
      </w:r>
      <w:r w:rsidRPr="008A32B9">
        <w:rPr>
          <w:rFonts w:ascii="Times New Roman" w:eastAsia="DengXian" w:hAnsi="Times New Roman" w:cs="Times New Roman"/>
          <w:i/>
          <w:iCs/>
          <w:lang w:eastAsia="zh-CN"/>
        </w:rPr>
        <w:t>and Mr. LIANG Yanan. Non-executive director of the Company is Mr. YANG Min. Independent</w:t>
      </w:r>
      <w:r>
        <w:rPr>
          <w:rFonts w:ascii="Times New Roman" w:eastAsia="DengXian" w:hAnsi="Times New Roman" w:cs="Times New Roman" w:hint="eastAsia"/>
          <w:i/>
          <w:iCs/>
          <w:lang w:eastAsia="zh-CN"/>
        </w:rPr>
        <w:t xml:space="preserve"> </w:t>
      </w:r>
      <w:r w:rsidRPr="008A32B9">
        <w:rPr>
          <w:rFonts w:ascii="Times New Roman" w:eastAsia="DengXian" w:hAnsi="Times New Roman" w:cs="Times New Roman"/>
          <w:i/>
          <w:iCs/>
          <w:lang w:eastAsia="zh-CN"/>
        </w:rPr>
        <w:t>non-executive directors of the Company are Mr. CHU Hoi Kan, Mr. LAM Chi Wing, Mr. TANG Sher</w:t>
      </w:r>
      <w:r>
        <w:rPr>
          <w:rFonts w:ascii="Times New Roman" w:eastAsia="DengXian" w:hAnsi="Times New Roman" w:cs="Times New Roman" w:hint="eastAsia"/>
          <w:i/>
          <w:iCs/>
          <w:lang w:eastAsia="zh-CN"/>
        </w:rPr>
        <w:t xml:space="preserve"> </w:t>
      </w:r>
      <w:r w:rsidRPr="008A32B9">
        <w:rPr>
          <w:rFonts w:ascii="Times New Roman" w:eastAsia="DengXian" w:hAnsi="Times New Roman" w:cs="Times New Roman"/>
          <w:i/>
          <w:iCs/>
          <w:lang w:eastAsia="zh-CN"/>
        </w:rPr>
        <w:t>Kin, Mr. DENG Chaowen and Ms. MAK Suet Man.</w:t>
      </w:r>
    </w:p>
    <w:sectPr w:rsidR="007A3D0C" w:rsidRPr="008A32B9" w:rsidSect="005D12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E82C" w14:textId="77777777" w:rsidR="005D12AC" w:rsidRDefault="005D12AC" w:rsidP="008A32B9">
      <w:pPr>
        <w:spacing w:after="0" w:line="240" w:lineRule="auto"/>
      </w:pPr>
      <w:r>
        <w:separator/>
      </w:r>
    </w:p>
  </w:endnote>
  <w:endnote w:type="continuationSeparator" w:id="0">
    <w:p w14:paraId="1514BF40" w14:textId="77777777" w:rsidR="005D12AC" w:rsidRDefault="005D12AC" w:rsidP="008A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LTStd-Bold">
    <w:altName w:val="Times New Roman"/>
    <w:panose1 w:val="00000000000000000000"/>
    <w:charset w:val="00"/>
    <w:family w:val="auto"/>
    <w:notTrueType/>
    <w:pitch w:val="default"/>
    <w:sig w:usb0="00000003" w:usb1="00000000" w:usb2="00000000" w:usb3="00000000" w:csb0="0000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3903" w14:textId="77777777" w:rsidR="005D12AC" w:rsidRDefault="005D12AC" w:rsidP="008A32B9">
      <w:pPr>
        <w:spacing w:after="0" w:line="240" w:lineRule="auto"/>
      </w:pPr>
      <w:r>
        <w:separator/>
      </w:r>
    </w:p>
  </w:footnote>
  <w:footnote w:type="continuationSeparator" w:id="0">
    <w:p w14:paraId="5F63D637" w14:textId="77777777" w:rsidR="005D12AC" w:rsidRDefault="005D12AC" w:rsidP="008A3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EB"/>
    <w:rsid w:val="00092BD8"/>
    <w:rsid w:val="000A2BB0"/>
    <w:rsid w:val="000F76B1"/>
    <w:rsid w:val="001B04EE"/>
    <w:rsid w:val="001D3DB7"/>
    <w:rsid w:val="001D51CF"/>
    <w:rsid w:val="00221DF7"/>
    <w:rsid w:val="00276718"/>
    <w:rsid w:val="003C0EEB"/>
    <w:rsid w:val="003E3C15"/>
    <w:rsid w:val="00422F02"/>
    <w:rsid w:val="004801FB"/>
    <w:rsid w:val="00480837"/>
    <w:rsid w:val="0048253E"/>
    <w:rsid w:val="004D0862"/>
    <w:rsid w:val="004F15E9"/>
    <w:rsid w:val="004F2E5B"/>
    <w:rsid w:val="00546AB7"/>
    <w:rsid w:val="00574FBB"/>
    <w:rsid w:val="005D12AC"/>
    <w:rsid w:val="00625913"/>
    <w:rsid w:val="006539EF"/>
    <w:rsid w:val="0069219E"/>
    <w:rsid w:val="006C2EE5"/>
    <w:rsid w:val="006C52FF"/>
    <w:rsid w:val="006C7FC9"/>
    <w:rsid w:val="006D25AD"/>
    <w:rsid w:val="006D7F2D"/>
    <w:rsid w:val="0071008E"/>
    <w:rsid w:val="0072202B"/>
    <w:rsid w:val="00773235"/>
    <w:rsid w:val="007A3D0C"/>
    <w:rsid w:val="00807CB5"/>
    <w:rsid w:val="0081064F"/>
    <w:rsid w:val="0081656F"/>
    <w:rsid w:val="00830559"/>
    <w:rsid w:val="00882F71"/>
    <w:rsid w:val="0089425B"/>
    <w:rsid w:val="008962C3"/>
    <w:rsid w:val="008A32B9"/>
    <w:rsid w:val="00901D9F"/>
    <w:rsid w:val="0090729D"/>
    <w:rsid w:val="009077D7"/>
    <w:rsid w:val="00977E71"/>
    <w:rsid w:val="009E1F10"/>
    <w:rsid w:val="00A142BB"/>
    <w:rsid w:val="00A9446D"/>
    <w:rsid w:val="00AD0A90"/>
    <w:rsid w:val="00B13CA8"/>
    <w:rsid w:val="00BC1479"/>
    <w:rsid w:val="00CC383B"/>
    <w:rsid w:val="00D92D96"/>
    <w:rsid w:val="00E710B2"/>
    <w:rsid w:val="00EC2149"/>
    <w:rsid w:val="00ED57C1"/>
    <w:rsid w:val="00EE2AF0"/>
    <w:rsid w:val="00F34543"/>
    <w:rsid w:val="00FD2848"/>
    <w:rsid w:val="00FE6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580C5"/>
  <w15:chartTrackingRefBased/>
  <w15:docId w15:val="{C863771D-F4DC-4707-B37D-7EEBD778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E6102"/>
    <w:pPr>
      <w:spacing w:after="0" w:line="240" w:lineRule="auto"/>
    </w:pPr>
  </w:style>
  <w:style w:type="paragraph" w:styleId="a4">
    <w:name w:val="header"/>
    <w:basedOn w:val="a"/>
    <w:link w:val="a5"/>
    <w:uiPriority w:val="99"/>
    <w:unhideWhenUsed/>
    <w:rsid w:val="008A32B9"/>
    <w:pPr>
      <w:tabs>
        <w:tab w:val="center" w:pos="4153"/>
        <w:tab w:val="right" w:pos="8306"/>
      </w:tabs>
      <w:snapToGrid w:val="0"/>
    </w:pPr>
    <w:rPr>
      <w:sz w:val="20"/>
      <w:szCs w:val="20"/>
    </w:rPr>
  </w:style>
  <w:style w:type="character" w:customStyle="1" w:styleId="a5">
    <w:name w:val="頁首 字元"/>
    <w:basedOn w:val="a0"/>
    <w:link w:val="a4"/>
    <w:uiPriority w:val="99"/>
    <w:rsid w:val="008A32B9"/>
    <w:rPr>
      <w:sz w:val="20"/>
      <w:szCs w:val="20"/>
    </w:rPr>
  </w:style>
  <w:style w:type="paragraph" w:styleId="a6">
    <w:name w:val="footer"/>
    <w:basedOn w:val="a"/>
    <w:link w:val="a7"/>
    <w:uiPriority w:val="99"/>
    <w:unhideWhenUsed/>
    <w:rsid w:val="008A32B9"/>
    <w:pPr>
      <w:tabs>
        <w:tab w:val="center" w:pos="4153"/>
        <w:tab w:val="right" w:pos="8306"/>
      </w:tabs>
      <w:snapToGrid w:val="0"/>
    </w:pPr>
    <w:rPr>
      <w:sz w:val="20"/>
      <w:szCs w:val="20"/>
    </w:rPr>
  </w:style>
  <w:style w:type="character" w:customStyle="1" w:styleId="a7">
    <w:name w:val="頁尾 字元"/>
    <w:basedOn w:val="a0"/>
    <w:link w:val="a6"/>
    <w:uiPriority w:val="99"/>
    <w:rsid w:val="008A32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66601-4CF5-40CC-8143-0445950F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Alco Electronics Limited</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QianYun Liu</dc:creator>
  <cp:keywords/>
  <dc:description/>
  <cp:lastModifiedBy>Sales Biz</cp:lastModifiedBy>
  <cp:revision>4</cp:revision>
  <dcterms:created xsi:type="dcterms:W3CDTF">2024-03-20T03:58:00Z</dcterms:created>
  <dcterms:modified xsi:type="dcterms:W3CDTF">2024-03-20T04:10:00Z</dcterms:modified>
</cp:coreProperties>
</file>