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240" w:lineRule="auto"/>
        <w:rPr>
          <w:rFonts w:ascii="Arial" w:hAnsi="Arial" w:cs="Arial"/>
          <w:b/>
          <w:caps/>
          <w:sz w:val="20"/>
        </w:rPr>
      </w:pPr>
      <w:bookmarkStart w:id="0" w:name="_GoBack"/>
      <w:bookmarkEnd w:id="0"/>
    </w:p>
    <w:p>
      <w:pPr>
        <w:pStyle w:val="9"/>
        <w:spacing w:line="240" w:lineRule="auto"/>
        <w:rPr>
          <w:rFonts w:hint="eastAsia" w:ascii="Arial" w:hAnsi="Arial" w:cs="Arial"/>
          <w:b/>
          <w:sz w:val="22"/>
          <w:szCs w:val="22"/>
        </w:rPr>
      </w:pPr>
      <w:r>
        <w:rPr>
          <w:rFonts w:hint="eastAsia" w:ascii="Arial" w:hAnsi="Arial" w:cs="Arial"/>
          <w:b/>
          <w:sz w:val="22"/>
          <w:szCs w:val="22"/>
        </w:rPr>
        <w:t>附錄五</w:t>
      </w:r>
    </w:p>
    <w:p>
      <w:pPr>
        <w:pStyle w:val="9"/>
        <w:spacing w:line="240" w:lineRule="auto"/>
        <w:rPr>
          <w:rFonts w:hint="eastAsia" w:ascii="Arial" w:hAnsi="Arial" w:cs="Arial"/>
          <w:b/>
          <w:sz w:val="22"/>
          <w:szCs w:val="22"/>
        </w:rPr>
      </w:pPr>
    </w:p>
    <w:p>
      <w:pPr>
        <w:pStyle w:val="9"/>
        <w:spacing w:line="240" w:lineRule="auto"/>
        <w:rPr>
          <w:rFonts w:ascii="Arial" w:hAnsi="Arial" w:cs="Arial"/>
          <w:b/>
          <w:sz w:val="22"/>
          <w:szCs w:val="22"/>
        </w:rPr>
      </w:pPr>
      <w:r>
        <w:rPr>
          <w:rFonts w:hint="eastAsia" w:ascii="Arial" w:hAnsi="Arial" w:eastAsia="宋体" w:cs="Arial"/>
          <w:b/>
          <w:sz w:val="22"/>
          <w:szCs w:val="22"/>
          <w:lang w:val="en-US" w:eastAsia="zh-CN"/>
        </w:rPr>
        <w:t>上市申請</w:t>
      </w:r>
      <w:r>
        <w:rPr>
          <w:rFonts w:hint="eastAsia" w:ascii="Arial" w:hAnsi="Arial" w:cs="Arial"/>
          <w:b/>
          <w:sz w:val="22"/>
          <w:szCs w:val="22"/>
        </w:rPr>
        <w:t>表格</w:t>
      </w:r>
    </w:p>
    <w:p>
      <w:pPr>
        <w:pStyle w:val="12"/>
        <w:spacing w:line="240" w:lineRule="auto"/>
        <w:rPr>
          <w:rFonts w:ascii="Arial" w:hAnsi="Arial" w:cs="Arial"/>
          <w:b/>
          <w:caps/>
          <w:color w:val="auto"/>
          <w:sz w:val="22"/>
          <w:szCs w:val="22"/>
        </w:rPr>
      </w:pPr>
    </w:p>
    <w:p>
      <w:pPr>
        <w:pStyle w:val="10"/>
        <w:spacing w:line="240" w:lineRule="auto"/>
        <w:rPr>
          <w:rFonts w:ascii="Arial" w:hAnsi="Arial" w:cs="Arial"/>
          <w:b/>
          <w:sz w:val="22"/>
          <w:szCs w:val="22"/>
        </w:rPr>
      </w:pPr>
      <w:r>
        <w:rPr>
          <w:rFonts w:ascii="Arial" w:hAnsi="Arial" w:eastAsia="宋体" w:cs="Arial"/>
          <w:b/>
          <w:sz w:val="22"/>
          <w:szCs w:val="22"/>
        </w:rPr>
        <w:t>G</w:t>
      </w:r>
      <w:r>
        <w:rPr>
          <w:rFonts w:hint="eastAsia" w:ascii="Arial" w:hAnsi="Arial" w:cs="Arial"/>
          <w:b/>
          <w:sz w:val="22"/>
          <w:szCs w:val="22"/>
        </w:rPr>
        <w:t>表格</w:t>
      </w:r>
      <w:r>
        <w:rPr>
          <w:rFonts w:ascii="Arial" w:hAnsi="Arial" w:eastAsia="宋体" w:cs="Arial"/>
          <w:b/>
          <w:sz w:val="22"/>
          <w:szCs w:val="22"/>
        </w:rPr>
        <w:t xml:space="preserve"> </w:t>
      </w:r>
    </w:p>
    <w:p>
      <w:pPr>
        <w:pStyle w:val="12"/>
        <w:spacing w:line="240" w:lineRule="auto"/>
        <w:rPr>
          <w:rFonts w:ascii="Arial" w:hAnsi="Arial" w:cs="Arial"/>
          <w:b/>
          <w:caps/>
          <w:color w:val="auto"/>
          <w:sz w:val="22"/>
          <w:szCs w:val="22"/>
        </w:rPr>
      </w:pPr>
    </w:p>
    <w:p>
      <w:pPr>
        <w:pStyle w:val="11"/>
        <w:spacing w:line="240" w:lineRule="auto"/>
        <w:rPr>
          <w:rFonts w:ascii="Arial" w:hAnsi="Arial" w:cs="Arial"/>
          <w:b/>
          <w:caps/>
          <w:sz w:val="22"/>
          <w:szCs w:val="22"/>
        </w:rPr>
      </w:pPr>
      <w:r>
        <w:rPr>
          <w:rFonts w:ascii="Arial" w:hAnsi="Arial" w:eastAsia="宋体" w:cs="Arial"/>
          <w:b/>
          <w:caps/>
          <w:sz w:val="22"/>
          <w:szCs w:val="22"/>
        </w:rPr>
        <w:t>GEM</w:t>
      </w:r>
    </w:p>
    <w:p>
      <w:pPr>
        <w:pStyle w:val="12"/>
        <w:spacing w:line="240" w:lineRule="auto"/>
        <w:rPr>
          <w:rFonts w:ascii="Arial" w:hAnsi="Arial" w:cs="Arial"/>
          <w:caps/>
          <w:color w:val="auto"/>
          <w:sz w:val="22"/>
          <w:szCs w:val="22"/>
        </w:rPr>
      </w:pPr>
    </w:p>
    <w:p>
      <w:pPr>
        <w:pStyle w:val="11"/>
        <w:spacing w:line="240" w:lineRule="auto"/>
        <w:rPr>
          <w:rFonts w:ascii="Arial" w:hAnsi="Arial" w:cs="Arial"/>
          <w:b/>
          <w:caps/>
          <w:sz w:val="22"/>
          <w:szCs w:val="22"/>
        </w:rPr>
      </w:pPr>
      <w:r>
        <w:rPr>
          <w:rFonts w:hint="eastAsia" w:ascii="Arial" w:hAnsi="Arial" w:cs="Arial"/>
          <w:b/>
          <w:caps/>
          <w:sz w:val="22"/>
          <w:szCs w:val="22"/>
        </w:rPr>
        <w:t>公司资料</w:t>
      </w:r>
      <w:r>
        <w:rPr>
          <w:rFonts w:hint="eastAsia" w:ascii="Arial" w:hAnsi="Arial" w:eastAsia="宋体" w:cs="Arial"/>
          <w:b/>
          <w:caps/>
          <w:sz w:val="22"/>
          <w:szCs w:val="22"/>
          <w:lang w:val="en-US" w:eastAsia="zh-CN"/>
        </w:rPr>
        <w:t>報</w:t>
      </w:r>
      <w:r>
        <w:rPr>
          <w:rFonts w:hint="eastAsia" w:ascii="Arial" w:hAnsi="Arial" w:cs="Arial"/>
          <w:b/>
          <w:caps/>
          <w:sz w:val="22"/>
          <w:szCs w:val="22"/>
        </w:rPr>
        <w:t>表</w:t>
      </w:r>
    </w:p>
    <w:p>
      <w:pPr>
        <w:pStyle w:val="11"/>
        <w:spacing w:line="240" w:lineRule="auto"/>
        <w:rPr>
          <w:rFonts w:ascii="Arial" w:hAnsi="Arial" w:cs="Arial"/>
          <w:b/>
          <w:caps/>
          <w:sz w:val="18"/>
          <w:szCs w:val="18"/>
        </w:rPr>
      </w:pPr>
    </w:p>
    <w:p>
      <w:pPr>
        <w:pStyle w:val="11"/>
        <w:spacing w:line="240" w:lineRule="auto"/>
        <w:rPr>
          <w:rFonts w:ascii="Arial" w:hAnsi="Arial" w:cs="Arial"/>
          <w:b/>
          <w:sz w:val="18"/>
          <w:szCs w:val="18"/>
        </w:rPr>
      </w:pPr>
    </w:p>
    <w:p>
      <w:pPr>
        <w:pStyle w:val="12"/>
        <w:spacing w:line="240" w:lineRule="auto"/>
        <w:ind w:left="18" w:right="-28"/>
        <w:rPr>
          <w:rFonts w:ascii="Arial" w:hAnsi="Arial" w:cs="Arial"/>
          <w:color w:val="auto"/>
        </w:rPr>
      </w:pPr>
      <w:r>
        <w:rPr>
          <w:rFonts w:hint="eastAsia" w:ascii="Arial" w:hAnsi="Arial" w:cs="Arial"/>
          <w:color w:val="auto"/>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r>
        <w:rPr>
          <w:rFonts w:ascii="Arial" w:hAnsi="Arial" w:eastAsia="宋体" w:cs="Arial"/>
          <w:color w:val="auto"/>
        </w:rPr>
        <w:t>.</w:t>
      </w:r>
    </w:p>
    <w:p>
      <w:pPr>
        <w:pStyle w:val="12"/>
        <w:spacing w:line="240" w:lineRule="auto"/>
        <w:ind w:left="18" w:right="-28"/>
        <w:rPr>
          <w:rFonts w:ascii="Arial" w:hAnsi="Arial" w:cs="Arial"/>
          <w:color w:val="auto"/>
        </w:rPr>
      </w:pPr>
    </w:p>
    <w:tbl>
      <w:tblPr>
        <w:tblStyle w:val="5"/>
        <w:tblW w:w="0" w:type="auto"/>
        <w:tblInd w:w="0" w:type="dxa"/>
        <w:tblLayout w:type="fixed"/>
        <w:tblCellMar>
          <w:top w:w="0" w:type="dxa"/>
          <w:left w:w="28" w:type="dxa"/>
          <w:bottom w:w="0" w:type="dxa"/>
          <w:right w:w="28" w:type="dxa"/>
        </w:tblCellMar>
      </w:tblPr>
      <w:tblGrid>
        <w:gridCol w:w="2788"/>
        <w:gridCol w:w="6330"/>
      </w:tblGrid>
      <w:tr>
        <w:tc>
          <w:tcPr>
            <w:tcW w:w="2787" w:type="dxa"/>
          </w:tcPr>
          <w:p>
            <w:pPr>
              <w:pStyle w:val="12"/>
              <w:spacing w:line="240" w:lineRule="auto"/>
              <w:rPr>
                <w:rFonts w:hint="eastAsia" w:ascii="Arial" w:hAnsi="Arial" w:eastAsia="宋体" w:cs="Arial"/>
                <w:b/>
                <w:color w:val="auto"/>
                <w:lang w:eastAsia="zh-CN"/>
              </w:rPr>
            </w:pPr>
            <w:r>
              <w:rPr>
                <w:rFonts w:hint="eastAsia" w:ascii="Arial" w:hAnsi="Arial" w:cs="Arial"/>
                <w:b/>
                <w:color w:val="auto"/>
              </w:rPr>
              <w:t>公司名稱</w:t>
            </w:r>
            <w:r>
              <w:rPr>
                <w:rFonts w:hint="eastAsia" w:ascii="Arial" w:hAnsi="Arial" w:eastAsia="宋体" w:cs="Arial"/>
                <w:b/>
                <w:color w:val="auto"/>
                <w:lang w:eastAsia="zh-CN"/>
              </w:rPr>
              <w:t>：</w:t>
            </w:r>
          </w:p>
        </w:tc>
        <w:tc>
          <w:tcPr>
            <w:tcW w:w="6330" w:type="dxa"/>
          </w:tcPr>
          <w:p>
            <w:pPr>
              <w:pStyle w:val="12"/>
              <w:spacing w:line="240" w:lineRule="auto"/>
              <w:rPr>
                <w:rFonts w:ascii="Arial" w:hAnsi="Arial" w:cs="Arial"/>
                <w:b/>
                <w:color w:val="0000FF"/>
              </w:rPr>
            </w:pPr>
            <w:r>
              <w:rPr>
                <w:rFonts w:hint="eastAsia" w:ascii="Arial" w:hAnsi="Arial" w:cs="Arial"/>
                <w:b/>
                <w:color w:val="0000FF"/>
              </w:rPr>
              <w:t>中國醫療集團有限公司</w:t>
            </w:r>
          </w:p>
        </w:tc>
      </w:tr>
      <w:tr>
        <w:tblPrEx>
          <w:tblCellMar>
            <w:top w:w="0" w:type="dxa"/>
            <w:left w:w="28" w:type="dxa"/>
            <w:bottom w:w="0" w:type="dxa"/>
            <w:right w:w="28" w:type="dxa"/>
          </w:tblCellMar>
        </w:tblPrEx>
        <w:tc>
          <w:tcPr>
            <w:tcW w:w="2788" w:type="dxa"/>
          </w:tcPr>
          <w:p>
            <w:pPr>
              <w:pStyle w:val="12"/>
              <w:spacing w:line="240" w:lineRule="auto"/>
              <w:rPr>
                <w:rFonts w:ascii="Arial" w:hAnsi="Arial" w:cs="Arial"/>
                <w:b/>
                <w:color w:val="auto"/>
              </w:rPr>
            </w:pPr>
          </w:p>
        </w:tc>
        <w:tc>
          <w:tcPr>
            <w:tcW w:w="6330" w:type="dxa"/>
            <w:tcBorders>
              <w:top w:val="dotted" w:color="auto" w:sz="2" w:space="0"/>
            </w:tcBorders>
          </w:tcPr>
          <w:p>
            <w:pPr>
              <w:pStyle w:val="12"/>
              <w:spacing w:line="240" w:lineRule="auto"/>
              <w:rPr>
                <w:rFonts w:ascii="Arial" w:hAnsi="Arial" w:cs="Arial"/>
                <w:b/>
                <w:color w:val="0000FF"/>
              </w:rPr>
            </w:pPr>
          </w:p>
        </w:tc>
      </w:tr>
      <w:tr>
        <w:tblPrEx>
          <w:tblCellMar>
            <w:top w:w="0" w:type="dxa"/>
            <w:left w:w="28" w:type="dxa"/>
            <w:bottom w:w="0" w:type="dxa"/>
            <w:right w:w="28" w:type="dxa"/>
          </w:tblCellMar>
        </w:tblPrEx>
        <w:tc>
          <w:tcPr>
            <w:tcW w:w="2788" w:type="dxa"/>
          </w:tcPr>
          <w:p>
            <w:pPr>
              <w:pStyle w:val="12"/>
              <w:spacing w:line="240" w:lineRule="auto"/>
              <w:rPr>
                <w:rFonts w:hint="eastAsia" w:ascii="Arial" w:hAnsi="Arial" w:eastAsia="宋体" w:cs="Arial"/>
                <w:b/>
                <w:color w:val="auto"/>
                <w:lang w:eastAsia="zh-CN"/>
              </w:rPr>
            </w:pPr>
            <w:r>
              <w:rPr>
                <w:rFonts w:hint="eastAsia" w:ascii="Arial" w:hAnsi="Arial" w:eastAsia="宋体" w:cs="Arial"/>
                <w:b/>
                <w:color w:val="auto"/>
                <w:lang w:val="en-US" w:eastAsia="zh-CN"/>
              </w:rPr>
              <w:t>证券</w:t>
            </w:r>
            <w:r>
              <w:rPr>
                <w:rFonts w:hint="eastAsia" w:ascii="Arial" w:hAnsi="Arial" w:cs="Arial"/>
                <w:b/>
                <w:color w:val="auto"/>
              </w:rPr>
              <w:t>代码（普通股）</w:t>
            </w:r>
            <w:r>
              <w:rPr>
                <w:rFonts w:hint="eastAsia" w:ascii="Arial" w:hAnsi="Arial" w:eastAsia="宋体" w:cs="Arial"/>
                <w:b/>
                <w:color w:val="auto"/>
                <w:lang w:eastAsia="zh-CN"/>
              </w:rPr>
              <w:t>：</w:t>
            </w:r>
          </w:p>
        </w:tc>
        <w:tc>
          <w:tcPr>
            <w:tcW w:w="6330" w:type="dxa"/>
            <w:tcBorders>
              <w:bottom w:val="dotted" w:color="auto" w:sz="2" w:space="0"/>
            </w:tcBorders>
          </w:tcPr>
          <w:p>
            <w:pPr>
              <w:pStyle w:val="12"/>
              <w:spacing w:line="240" w:lineRule="auto"/>
              <w:rPr>
                <w:rFonts w:hint="default" w:ascii="Arial" w:hAnsi="Arial" w:eastAsia="宋体" w:cs="Arial"/>
                <w:b/>
                <w:color w:val="0000FF"/>
                <w:lang w:val="en-US" w:eastAsia="zh-CN"/>
              </w:rPr>
            </w:pPr>
            <w:r>
              <w:rPr>
                <w:rFonts w:hint="eastAsia" w:ascii="Arial" w:hAnsi="Arial" w:eastAsia="宋体" w:cs="Arial"/>
                <w:b/>
                <w:color w:val="0000FF"/>
                <w:lang w:val="en-US" w:eastAsia="zh-CN"/>
              </w:rPr>
              <w:t>08225</w:t>
            </w:r>
          </w:p>
        </w:tc>
      </w:tr>
    </w:tbl>
    <w:p>
      <w:pPr>
        <w:pStyle w:val="12"/>
        <w:spacing w:line="240" w:lineRule="auto"/>
        <w:rPr>
          <w:rFonts w:ascii="Arial" w:hAnsi="Arial" w:cs="Arial"/>
          <w:color w:val="auto"/>
        </w:rPr>
      </w:pPr>
    </w:p>
    <w:p>
      <w:pPr>
        <w:pStyle w:val="12"/>
        <w:spacing w:line="240" w:lineRule="auto"/>
        <w:rPr>
          <w:rFonts w:ascii="Arial" w:hAnsi="Arial" w:cs="Arial"/>
          <w:color w:val="auto"/>
        </w:rPr>
      </w:pPr>
      <w:r>
        <w:rPr>
          <w:rFonts w:hint="eastAsia" w:ascii="Arial" w:hAnsi="Arial" w:cs="Arial"/>
          <w:color w:val="auto"/>
        </w:rPr>
        <w:t>本資料報表列載若干有關上述在香港聯合交易所有限公司（「聯交所」）創業板上市的公司 （「該公司」）的資料。該等資料乃遵照香港聯合交易所有限公司創業板證券上市規則（「創業板上市規則」）的規定而提供，旨在 向公眾提供有關該公司的資料。該等資料將登載於互聯網的聯交所網站。本資料報表不應視作有關本公司及／或其證券的全部資料概要。</w:t>
      </w:r>
      <w:r>
        <w:rPr>
          <w:rFonts w:ascii="Arial" w:hAnsi="Arial" w:eastAsia="宋体" w:cs="Arial"/>
          <w:color w:val="auto"/>
        </w:rPr>
        <w:t>.</w:t>
      </w:r>
    </w:p>
    <w:p>
      <w:pPr>
        <w:pStyle w:val="12"/>
        <w:spacing w:line="240" w:lineRule="auto"/>
        <w:rPr>
          <w:rFonts w:ascii="Arial" w:hAnsi="Arial" w:cs="Arial"/>
          <w:color w:val="auto"/>
        </w:rPr>
      </w:pPr>
    </w:p>
    <w:p>
      <w:pPr>
        <w:pStyle w:val="12"/>
        <w:tabs>
          <w:tab w:val="clear" w:pos="567"/>
          <w:tab w:val="clear" w:pos="1134"/>
          <w:tab w:val="clear" w:pos="1701"/>
          <w:tab w:val="clear" w:pos="2268"/>
        </w:tabs>
        <w:spacing w:line="240" w:lineRule="auto"/>
        <w:jc w:val="left"/>
        <w:rPr>
          <w:rFonts w:ascii="Arial" w:hAnsi="Arial" w:cs="Arial"/>
          <w:color w:val="auto"/>
        </w:rPr>
      </w:pPr>
      <w:r>
        <w:rPr>
          <w:rFonts w:hint="eastAsia" w:ascii="Arial" w:hAnsi="Arial" w:cs="Arial"/>
          <w:color w:val="auto"/>
        </w:rPr>
        <w:t>本</w:t>
      </w:r>
      <w:r>
        <w:rPr>
          <w:rFonts w:hint="eastAsia" w:ascii="Arial" w:hAnsi="Arial" w:eastAsia="宋体" w:cs="Arial"/>
          <w:color w:val="auto"/>
          <w:lang w:val="en-US" w:eastAsia="zh-CN"/>
        </w:rPr>
        <w:t>報表的資料</w:t>
      </w:r>
      <w:r>
        <w:rPr>
          <w:rFonts w:hint="eastAsia" w:ascii="Arial" w:hAnsi="Arial" w:cs="Arial"/>
          <w:color w:val="auto"/>
        </w:rPr>
        <w:t>于</w:t>
      </w:r>
      <w:r>
        <w:rPr>
          <w:rFonts w:ascii="Arial" w:hAnsi="Arial" w:eastAsia="宋体" w:cs="Arial"/>
          <w:color w:val="auto"/>
        </w:rPr>
        <w:t xml:space="preserve"> </w:t>
      </w:r>
      <w:r>
        <w:rPr>
          <w:rFonts w:ascii="Arial" w:hAnsi="Arial" w:eastAsia="宋体" w:cs="Arial"/>
          <w:color w:val="0000FF"/>
          <w:u w:val="dotted"/>
        </w:rPr>
        <w:t xml:space="preserve"> </w:t>
      </w:r>
      <w:r>
        <w:rPr>
          <w:rFonts w:hint="eastAsia" w:ascii="Arial" w:hAnsi="Arial" w:eastAsia="宋体" w:cs="Arial"/>
          <w:color w:val="0000FF"/>
          <w:u w:val="dotted"/>
          <w:lang w:val="en-US" w:eastAsia="zh-CN"/>
        </w:rPr>
        <w:t>2024年3月12日更新</w:t>
      </w:r>
      <w:r>
        <w:rPr>
          <w:rFonts w:ascii="Arial" w:hAnsi="Arial" w:cs="Arial"/>
          <w:color w:val="0000FF"/>
          <w:u w:val="dotted"/>
        </w:rPr>
        <w:tab/>
      </w:r>
    </w:p>
    <w:p>
      <w:pPr>
        <w:pStyle w:val="12"/>
        <w:spacing w:line="240" w:lineRule="auto"/>
        <w:rPr>
          <w:rFonts w:ascii="Arial" w:hAnsi="Arial" w:cs="Arial"/>
          <w:color w:val="auto"/>
        </w:rPr>
      </w:pPr>
    </w:p>
    <w:p>
      <w:pPr>
        <w:pStyle w:val="12"/>
        <w:keepNext/>
        <w:spacing w:line="240" w:lineRule="auto"/>
        <w:ind w:left="567" w:hanging="567"/>
        <w:rPr>
          <w:rFonts w:hint="eastAsia" w:ascii="Arial" w:hAnsi="Arial" w:eastAsia="宋体" w:cs="Arial"/>
          <w:b/>
          <w:i/>
          <w:iCs/>
          <w:color w:val="auto"/>
          <w:lang w:val="en-US" w:eastAsia="zh-CN"/>
        </w:rPr>
      </w:pPr>
      <w:r>
        <w:rPr>
          <w:rFonts w:ascii="Arial" w:hAnsi="Arial" w:eastAsia="宋体" w:cs="Arial"/>
          <w:b/>
          <w:i/>
          <w:iCs/>
          <w:color w:val="auto"/>
        </w:rPr>
        <w:t xml:space="preserve">A. </w:t>
      </w:r>
      <w:r>
        <w:rPr>
          <w:rFonts w:hint="eastAsia" w:ascii="Arial" w:hAnsi="Arial" w:cs="Arial"/>
          <w:b/>
          <w:i/>
          <w:iCs/>
          <w:color w:val="auto"/>
        </w:rPr>
        <w:t>一般</w:t>
      </w:r>
      <w:r>
        <w:rPr>
          <w:rFonts w:hint="eastAsia" w:ascii="Arial" w:hAnsi="Arial" w:eastAsia="宋体" w:cs="Arial"/>
          <w:b/>
          <w:i/>
          <w:iCs/>
          <w:color w:val="auto"/>
          <w:lang w:val="en-US" w:eastAsia="zh-CN"/>
        </w:rPr>
        <w:t>資料</w:t>
      </w:r>
    </w:p>
    <w:p>
      <w:pPr>
        <w:pStyle w:val="12"/>
        <w:keepNext/>
        <w:spacing w:line="240" w:lineRule="auto"/>
        <w:rPr>
          <w:rFonts w:ascii="Arial" w:hAnsi="Arial" w:cs="Arial"/>
          <w:color w:val="auto"/>
        </w:rPr>
      </w:pPr>
    </w:p>
    <w:tbl>
      <w:tblPr>
        <w:tblStyle w:val="5"/>
        <w:tblW w:w="9129" w:type="dxa"/>
        <w:tblInd w:w="0" w:type="dxa"/>
        <w:tblLayout w:type="fixed"/>
        <w:tblCellMar>
          <w:top w:w="0" w:type="dxa"/>
          <w:left w:w="28" w:type="dxa"/>
          <w:bottom w:w="0" w:type="dxa"/>
          <w:right w:w="28" w:type="dxa"/>
        </w:tblCellMar>
      </w:tblPr>
      <w:tblGrid>
        <w:gridCol w:w="3686"/>
        <w:gridCol w:w="5443"/>
      </w:tblGrid>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eastAsia="宋体" w:cs="Arial"/>
                <w:color w:val="auto"/>
                <w:lang w:val="en-US" w:eastAsia="zh-CN"/>
              </w:rPr>
              <w:t>注冊成立地點</w:t>
            </w:r>
            <w:r>
              <w:rPr>
                <w:rFonts w:hint="eastAsia" w:ascii="Arial" w:hAnsi="Arial" w:eastAsia="宋体" w:cs="Arial"/>
                <w:color w:val="auto"/>
                <w:lang w:eastAsia="zh-CN"/>
              </w:rPr>
              <w:t>：</w:t>
            </w:r>
          </w:p>
        </w:tc>
        <w:tc>
          <w:tcPr>
            <w:tcW w:w="5443" w:type="dxa"/>
            <w:tcBorders>
              <w:bottom w:val="dotted" w:color="auto" w:sz="2" w:space="0"/>
            </w:tcBorders>
          </w:tcPr>
          <w:p>
            <w:pPr>
              <w:pStyle w:val="12"/>
              <w:tabs>
                <w:tab w:val="clear" w:pos="567"/>
                <w:tab w:val="clear" w:pos="1134"/>
                <w:tab w:val="clear" w:pos="1701"/>
                <w:tab w:val="clear" w:pos="2268"/>
              </w:tabs>
              <w:spacing w:line="240" w:lineRule="auto"/>
              <w:rPr>
                <w:rFonts w:hint="eastAsia" w:ascii="Arial" w:hAnsi="Arial" w:eastAsia="宋体" w:cs="Arial"/>
                <w:color w:val="0000FF"/>
                <w:lang w:eastAsia="zh-CN"/>
              </w:rPr>
            </w:pPr>
            <w:r>
              <w:rPr>
                <w:rFonts w:hint="eastAsia" w:ascii="Arial" w:hAnsi="Arial" w:eastAsia="宋体" w:cs="Arial"/>
                <w:color w:val="0000FF"/>
                <w:lang w:val="en-US" w:eastAsia="zh-CN"/>
              </w:rPr>
              <w:t>開曼群島</w:t>
            </w: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hint="default" w:ascii="Arial" w:hAnsi="Arial" w:eastAsia="宋体" w:cs="Arial"/>
                <w:color w:val="auto"/>
                <w:lang w:val="en-US" w:eastAsia="zh-CN"/>
              </w:rPr>
            </w:pPr>
            <w:r>
              <w:rPr>
                <w:rFonts w:hint="eastAsia" w:ascii="Arial" w:hAnsi="Arial" w:eastAsia="宋体" w:cs="Arial"/>
                <w:color w:val="auto"/>
                <w:lang w:val="en-US" w:eastAsia="zh-CN"/>
              </w:rPr>
              <w:t>在創業版首次上市日期：</w:t>
            </w:r>
          </w:p>
        </w:tc>
        <w:tc>
          <w:tcPr>
            <w:tcW w:w="5443" w:type="dxa"/>
            <w:tcBorders>
              <w:bottom w:val="dotted" w:color="auto" w:sz="2" w:space="0"/>
            </w:tcBorders>
          </w:tcPr>
          <w:p>
            <w:pPr>
              <w:pStyle w:val="12"/>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2003年7月10日</w:t>
            </w: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cs="Arial"/>
                <w:color w:val="auto"/>
              </w:rPr>
              <w:t>保薦人名稱</w:t>
            </w:r>
            <w:r>
              <w:rPr>
                <w:rFonts w:hint="eastAsia" w:ascii="Arial" w:hAnsi="Arial" w:eastAsia="宋体" w:cs="Arial"/>
                <w:color w:val="auto"/>
                <w:lang w:eastAsia="zh-CN"/>
              </w:rPr>
              <w:t>：</w:t>
            </w:r>
          </w:p>
        </w:tc>
        <w:tc>
          <w:tcPr>
            <w:tcW w:w="5443" w:type="dxa"/>
            <w:tcBorders>
              <w:bottom w:val="dotted" w:color="auto" w:sz="2" w:space="0"/>
            </w:tcBorders>
          </w:tcPr>
          <w:p>
            <w:pPr>
              <w:pStyle w:val="12"/>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不適用</w:t>
            </w:r>
          </w:p>
        </w:tc>
      </w:tr>
      <w:tr>
        <w:tblPrEx>
          <w:tblCellMar>
            <w:top w:w="0" w:type="dxa"/>
            <w:left w:w="28" w:type="dxa"/>
            <w:bottom w:w="0" w:type="dxa"/>
            <w:right w:w="28" w:type="dxa"/>
          </w:tblCellMar>
        </w:tblPrEx>
        <w:trPr>
          <w:cantSplit/>
          <w:trHeight w:val="90" w:hRule="atLeast"/>
        </w:trPr>
        <w:tc>
          <w:tcPr>
            <w:tcW w:w="3686" w:type="dxa"/>
          </w:tcPr>
          <w:p>
            <w:pPr>
              <w:pStyle w:val="12"/>
              <w:tabs>
                <w:tab w:val="left" w:pos="4535"/>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2"/>
              <w:tabs>
                <w:tab w:val="left" w:pos="4535"/>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2"/>
              <w:tabs>
                <w:tab w:val="left" w:pos="4535"/>
                <w:tab w:val="clear" w:pos="567"/>
                <w:tab w:val="clear" w:pos="1134"/>
                <w:tab w:val="clear" w:pos="1701"/>
                <w:tab w:val="clear" w:pos="2268"/>
              </w:tabs>
              <w:spacing w:line="240" w:lineRule="auto"/>
              <w:jc w:val="left"/>
              <w:rPr>
                <w:rFonts w:hint="eastAsia" w:ascii="Arial" w:hAnsi="Arial" w:cs="Arial"/>
                <w:color w:val="auto"/>
              </w:rPr>
            </w:pPr>
            <w:r>
              <w:rPr>
                <w:rFonts w:hint="eastAsia" w:ascii="Arial" w:hAnsi="Arial" w:cs="Arial"/>
                <w:color w:val="auto"/>
              </w:rPr>
              <w:t>董事姓名：</w:t>
            </w:r>
          </w:p>
          <w:p>
            <w:pPr>
              <w:pStyle w:val="12"/>
              <w:tabs>
                <w:tab w:val="left" w:pos="4535"/>
                <w:tab w:val="clear" w:pos="567"/>
                <w:tab w:val="clear" w:pos="1134"/>
                <w:tab w:val="clear" w:pos="1701"/>
                <w:tab w:val="clear" w:pos="2268"/>
              </w:tabs>
              <w:spacing w:line="240" w:lineRule="auto"/>
              <w:jc w:val="left"/>
              <w:rPr>
                <w:rFonts w:hint="eastAsia" w:ascii="Arial" w:hAnsi="Arial" w:cs="Arial"/>
                <w:color w:val="auto"/>
              </w:rPr>
            </w:pPr>
            <w:r>
              <w:rPr>
                <w:rFonts w:hint="eastAsia" w:ascii="Arial" w:hAnsi="Arial" w:cs="Arial"/>
                <w:color w:val="auto"/>
              </w:rPr>
              <w:t>(請列明董事的身份－</w:t>
            </w:r>
          </w:p>
          <w:p>
            <w:pPr>
              <w:pStyle w:val="12"/>
              <w:tabs>
                <w:tab w:val="left" w:pos="4535"/>
                <w:tab w:val="clear" w:pos="567"/>
                <w:tab w:val="clear" w:pos="1134"/>
                <w:tab w:val="clear" w:pos="1701"/>
                <w:tab w:val="clear" w:pos="2268"/>
              </w:tabs>
              <w:spacing w:line="240" w:lineRule="auto"/>
              <w:jc w:val="left"/>
              <w:rPr>
                <w:rFonts w:ascii="Arial" w:hAnsi="Arial" w:cs="Arial"/>
                <w:color w:val="auto"/>
              </w:rPr>
            </w:pPr>
            <w:r>
              <w:rPr>
                <w:rFonts w:hint="eastAsia" w:ascii="Arial" w:hAnsi="Arial" w:cs="Arial"/>
                <w:color w:val="auto"/>
              </w:rPr>
              <w:t>執行、非執行或獨立非執行</w:t>
            </w:r>
            <w:r>
              <w:rPr>
                <w:rFonts w:ascii="Arial" w:hAnsi="Arial" w:eastAsia="宋体" w:cs="Arial"/>
                <w:i/>
                <w:color w:val="auto"/>
              </w:rPr>
              <w:t>)</w:t>
            </w:r>
          </w:p>
        </w:tc>
        <w:tc>
          <w:tcPr>
            <w:tcW w:w="5443" w:type="dxa"/>
            <w:tcBorders>
              <w:bottom w:val="dotted" w:color="auto" w:sz="2" w:space="0"/>
            </w:tcBorders>
          </w:tcPr>
          <w:p>
            <w:pPr>
              <w:pStyle w:val="12"/>
              <w:tabs>
                <w:tab w:val="left" w:pos="4535"/>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執行董事</w:t>
            </w:r>
            <w:r>
              <w:rPr>
                <w:rFonts w:hint="eastAsia" w:ascii="Arial" w:hAnsi="Arial" w:cs="Arial"/>
                <w:color w:val="0000FF"/>
              </w:rPr>
              <w:t>：</w:t>
            </w:r>
            <w:r>
              <w:rPr>
                <w:rFonts w:hint="eastAsia" w:ascii="Arial" w:hAnsi="Arial" w:eastAsia="宋体" w:cs="Arial"/>
                <w:color w:val="0000FF"/>
                <w:lang w:val="en-US" w:eastAsia="zh-CN"/>
              </w:rPr>
              <w:t>郭夏先生和宋雪梅博士</w:t>
            </w:r>
            <w:r>
              <w:rPr>
                <w:rFonts w:hint="eastAsia" w:ascii="Arial" w:hAnsi="Arial" w:cs="Arial"/>
                <w:color w:val="0000FF"/>
              </w:rPr>
              <w:t>；</w:t>
            </w:r>
            <w:r>
              <w:rPr>
                <w:rFonts w:hint="eastAsia" w:ascii="Arial" w:hAnsi="Arial" w:eastAsia="宋体" w:cs="Arial"/>
                <w:color w:val="0000FF"/>
                <w:lang w:val="en-US" w:eastAsia="zh-CN"/>
              </w:rPr>
              <w:t>非執行董事：張麗博士和王大軍博士</w:t>
            </w:r>
            <w:r>
              <w:rPr>
                <w:rFonts w:hint="eastAsia" w:ascii="Arial" w:hAnsi="Arial" w:cs="Arial"/>
                <w:color w:val="0000FF"/>
              </w:rPr>
              <w:t>;</w:t>
            </w:r>
            <w:r>
              <w:rPr>
                <w:rFonts w:hint="eastAsia" w:ascii="Arial" w:hAnsi="Arial" w:eastAsia="宋体" w:cs="Arial"/>
                <w:color w:val="0000FF"/>
                <w:lang w:val="en-US" w:eastAsia="zh-CN"/>
              </w:rPr>
              <w:t>獨立非執行董事：伍霜駟先生、倪彬暉博士、郭彤博士和劉娜女士</w:t>
            </w:r>
          </w:p>
        </w:tc>
      </w:tr>
      <w:tr>
        <w:tblPrEx>
          <w:tblCellMar>
            <w:top w:w="0" w:type="dxa"/>
            <w:left w:w="28" w:type="dxa"/>
            <w:bottom w:w="0" w:type="dxa"/>
            <w:right w:w="28" w:type="dxa"/>
          </w:tblCellMar>
        </w:tblPrEx>
        <w:trPr>
          <w:cantSplit/>
        </w:trPr>
        <w:tc>
          <w:tcPr>
            <w:tcW w:w="3686" w:type="dxa"/>
          </w:tcPr>
          <w:p>
            <w:pPr>
              <w:pStyle w:val="12"/>
              <w:tabs>
                <w:tab w:val="left" w:pos="4535"/>
                <w:tab w:val="clear" w:pos="567"/>
                <w:tab w:val="clear" w:pos="1134"/>
                <w:tab w:val="clear" w:pos="1701"/>
                <w:tab w:val="clear" w:pos="2268"/>
              </w:tabs>
              <w:spacing w:line="240" w:lineRule="auto"/>
              <w:jc w:val="left"/>
              <w:rPr>
                <w:rFonts w:ascii="Arial" w:hAnsi="Arial" w:cs="Arial"/>
                <w:color w:val="auto"/>
              </w:rPr>
            </w:pPr>
            <w:r>
              <w:rPr>
                <w:rFonts w:ascii="Arial" w:hAnsi="Arial" w:cs="Arial"/>
                <w:color w:val="auto"/>
              </w:rPr>
              <w:tab/>
            </w:r>
          </w:p>
        </w:tc>
        <w:tc>
          <w:tcPr>
            <w:tcW w:w="5443" w:type="dxa"/>
          </w:tcPr>
          <w:p>
            <w:pPr>
              <w:pStyle w:val="12"/>
              <w:tabs>
                <w:tab w:val="left" w:pos="4535"/>
              </w:tabs>
              <w:spacing w:line="240" w:lineRule="auto"/>
              <w:rPr>
                <w:rFonts w:ascii="Arial" w:hAnsi="Arial" w:cs="Arial"/>
                <w:color w:val="0000FF"/>
              </w:rPr>
            </w:pPr>
          </w:p>
        </w:tc>
      </w:tr>
    </w:tbl>
    <w:p>
      <w:pPr>
        <w:pStyle w:val="12"/>
        <w:tabs>
          <w:tab w:val="left" w:pos="4535"/>
        </w:tabs>
        <w:spacing w:line="240" w:lineRule="auto"/>
        <w:jc w:val="left"/>
        <w:rPr>
          <w:rFonts w:hint="eastAsia" w:ascii="Arial" w:hAnsi="Arial" w:cs="Arial"/>
          <w:color w:val="auto"/>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10" w:right="1418" w:bottom="964" w:left="1418" w:header="851" w:footer="851" w:gutter="0"/>
          <w:cols w:space="720" w:num="1"/>
          <w:titlePg/>
          <w:docGrid w:linePitch="326" w:charSpace="0"/>
        </w:sectPr>
      </w:pPr>
    </w:p>
    <w:tbl>
      <w:tblPr>
        <w:tblStyle w:val="5"/>
        <w:tblW w:w="9129" w:type="dxa"/>
        <w:tblInd w:w="0" w:type="dxa"/>
        <w:tblLayout w:type="fixed"/>
        <w:tblCellMar>
          <w:top w:w="0" w:type="dxa"/>
          <w:left w:w="28" w:type="dxa"/>
          <w:bottom w:w="0" w:type="dxa"/>
          <w:right w:w="28" w:type="dxa"/>
        </w:tblCellMar>
      </w:tblPr>
      <w:tblGrid>
        <w:gridCol w:w="3686"/>
        <w:gridCol w:w="5443"/>
      </w:tblGrid>
      <w:tr>
        <w:tblPrEx>
          <w:tblCellMar>
            <w:top w:w="0" w:type="dxa"/>
            <w:left w:w="28" w:type="dxa"/>
            <w:bottom w:w="0" w:type="dxa"/>
            <w:right w:w="28" w:type="dxa"/>
          </w:tblCellMar>
        </w:tblPrEx>
        <w:trPr>
          <w:cantSplit/>
          <w:trHeight w:val="1315" w:hRule="atLeast"/>
        </w:trPr>
        <w:tc>
          <w:tcPr>
            <w:tcW w:w="3686" w:type="dxa"/>
          </w:tcPr>
          <w:p>
            <w:pPr>
              <w:pStyle w:val="12"/>
              <w:tabs>
                <w:tab w:val="left" w:pos="4535"/>
              </w:tabs>
              <w:spacing w:line="240" w:lineRule="auto"/>
              <w:jc w:val="left"/>
              <w:rPr>
                <w:rFonts w:hint="eastAsia" w:ascii="Arial" w:hAnsi="Arial" w:cs="Arial"/>
                <w:color w:val="auto"/>
              </w:rPr>
            </w:pPr>
            <w:r>
              <w:rPr>
                <w:rFonts w:hint="eastAsia" w:ascii="Arial" w:hAnsi="Arial" w:cs="Arial"/>
                <w:color w:val="auto"/>
              </w:rPr>
              <w:t>主要股東：</w:t>
            </w:r>
          </w:p>
          <w:p>
            <w:pPr>
              <w:pStyle w:val="12"/>
              <w:tabs>
                <w:tab w:val="left" w:pos="4535"/>
              </w:tabs>
              <w:spacing w:line="240" w:lineRule="auto"/>
              <w:jc w:val="left"/>
              <w:rPr>
                <w:rFonts w:ascii="Arial" w:hAnsi="Arial" w:cs="Arial"/>
              </w:rPr>
            </w:pPr>
            <w:r>
              <w:rPr>
                <w:rFonts w:hint="eastAsia" w:ascii="Arial" w:hAnsi="Arial" w:cs="Arial"/>
                <w:color w:val="auto"/>
              </w:rPr>
              <w:t>（定義見 《創業板上市規則》 第 1.01 條） 的姓名/名稱及其各自於 該 公 司 的 普 通 股 及 其 他 證 券 的 權 益</w:t>
            </w:r>
          </w:p>
        </w:tc>
        <w:tc>
          <w:tcPr>
            <w:tcW w:w="5443" w:type="dxa"/>
            <w:tcBorders>
              <w:bottom w:val="dotted" w:color="auto" w:sz="2" w:space="0"/>
            </w:tcBorders>
          </w:tcPr>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pStyle w:val="12"/>
                    <w:widowControl w:val="0"/>
                    <w:tabs>
                      <w:tab w:val="center" w:pos="1238"/>
                      <w:tab w:val="clear" w:pos="1701"/>
                    </w:tabs>
                    <w:spacing w:line="240" w:lineRule="auto"/>
                    <w:rPr>
                      <w:rFonts w:hint="default" w:ascii="Arial" w:hAnsi="Arial" w:eastAsia="宋体" w:cs="Arial"/>
                      <w:color w:val="0000FF"/>
                      <w:vertAlign w:val="baseline"/>
                      <w:lang w:val="en-US" w:eastAsia="zh-CN"/>
                    </w:rPr>
                  </w:pPr>
                  <w:r>
                    <w:rPr>
                      <w:rFonts w:hint="eastAsia" w:ascii="Arial" w:hAnsi="Arial" w:eastAsia="宋体" w:cs="Arial"/>
                      <w:color w:val="0000FF"/>
                      <w:vertAlign w:val="baseline"/>
                      <w:lang w:val="en-US" w:eastAsia="zh-CN"/>
                    </w:rPr>
                    <w:t>主要股東名稱</w:t>
                  </w:r>
                </w:p>
              </w:tc>
              <w:tc>
                <w:tcPr>
                  <w:tcW w:w="2694" w:type="dxa"/>
                </w:tcPr>
                <w:p>
                  <w:pPr>
                    <w:pStyle w:val="12"/>
                    <w:widowControl w:val="0"/>
                    <w:tabs>
                      <w:tab w:val="left" w:pos="4535"/>
                    </w:tabs>
                    <w:spacing w:line="240" w:lineRule="auto"/>
                    <w:rPr>
                      <w:rFonts w:hint="default" w:ascii="Arial" w:hAnsi="Arial" w:eastAsia="宋体" w:cs="Arial"/>
                      <w:color w:val="0000FF"/>
                      <w:vertAlign w:val="baseline"/>
                      <w:lang w:val="en-US" w:eastAsia="zh-CN"/>
                    </w:rPr>
                  </w:pPr>
                  <w:r>
                    <w:rPr>
                      <w:rFonts w:hint="eastAsia" w:ascii="Arial" w:hAnsi="Arial" w:cs="Arial"/>
                      <w:color w:val="0000FF"/>
                      <w:vertAlign w:val="baseline"/>
                    </w:rPr>
                    <w:t>在普通股中所</w:t>
                  </w:r>
                  <w:r>
                    <w:rPr>
                      <w:rFonts w:hint="eastAsia" w:ascii="Arial" w:hAnsi="Arial" w:eastAsia="宋体" w:cs="Arial"/>
                      <w:color w:val="0000FF"/>
                      <w:vertAlign w:val="baseline"/>
                      <w:lang w:val="en-US" w:eastAsia="zh-CN"/>
                    </w:rPr>
                    <w:t>佔權</w:t>
                  </w:r>
                  <w:r>
                    <w:rPr>
                      <w:rFonts w:hint="eastAsia" w:ascii="Arial" w:hAnsi="Arial" w:cs="Arial"/>
                      <w:color w:val="0000FF"/>
                      <w:vertAlign w:val="baseline"/>
                    </w:rPr>
                    <w:t>益的</w:t>
                  </w:r>
                  <w:r>
                    <w:rPr>
                      <w:rFonts w:hint="eastAsia" w:ascii="Arial" w:hAnsi="Arial" w:eastAsia="宋体" w:cs="Arial"/>
                      <w:color w:val="0000FF"/>
                      <w:vertAlign w:val="baseline"/>
                      <w:lang w:val="en-US" w:eastAsia="zh-CN"/>
                    </w:rPr>
                    <w:t>大致百分比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pStyle w:val="12"/>
                    <w:widowControl w:val="0"/>
                    <w:tabs>
                      <w:tab w:val="left" w:pos="4535"/>
                    </w:tabs>
                    <w:spacing w:line="240" w:lineRule="auto"/>
                    <w:rPr>
                      <w:rFonts w:hint="eastAsia" w:ascii="Arial" w:hAnsi="Arial" w:cs="Arial"/>
                      <w:color w:val="0000FF"/>
                    </w:rPr>
                  </w:pPr>
                  <w:r>
                    <w:rPr>
                      <w:rFonts w:hint="eastAsia" w:ascii="Arial" w:hAnsi="Arial" w:cs="Arial"/>
                      <w:color w:val="0000FF"/>
                    </w:rPr>
                    <w:t>Winsland Agents Limited</w:t>
                  </w:r>
                </w:p>
                <w:p>
                  <w:pPr>
                    <w:pStyle w:val="12"/>
                    <w:widowControl w:val="0"/>
                    <w:tabs>
                      <w:tab w:val="left" w:pos="4535"/>
                    </w:tabs>
                    <w:spacing w:line="240" w:lineRule="auto"/>
                    <w:rPr>
                      <w:rFonts w:hint="default" w:ascii="Arial" w:hAnsi="Arial" w:eastAsia="宋体" w:cs="Arial"/>
                      <w:color w:val="0000FF"/>
                      <w:vertAlign w:val="baseline"/>
                      <w:lang w:val="en-US" w:eastAsia="zh-CN"/>
                    </w:rPr>
                  </w:pPr>
                  <w:r>
                    <w:rPr>
                      <w:rFonts w:hint="eastAsia" w:ascii="Arial" w:hAnsi="Arial" w:eastAsia="宋体" w:cs="Arial"/>
                      <w:color w:val="0000FF"/>
                      <w:lang w:val="en-US" w:eastAsia="zh-CN"/>
                    </w:rPr>
                    <w:t>(附註 1)</w:t>
                  </w:r>
                </w:p>
              </w:tc>
              <w:tc>
                <w:tcPr>
                  <w:tcW w:w="2694" w:type="dxa"/>
                </w:tcPr>
                <w:p>
                  <w:pPr>
                    <w:pStyle w:val="12"/>
                    <w:widowControl w:val="0"/>
                    <w:tabs>
                      <w:tab w:val="left" w:pos="4535"/>
                    </w:tabs>
                    <w:spacing w:line="240" w:lineRule="auto"/>
                    <w:rPr>
                      <w:rFonts w:hint="default" w:ascii="Arial" w:hAnsi="Arial" w:eastAsia="宋体" w:cs="Arial"/>
                      <w:color w:val="0000FF"/>
                      <w:vertAlign w:val="baseline"/>
                      <w:lang w:val="en-US" w:eastAsia="zh-CN"/>
                    </w:rPr>
                  </w:pPr>
                  <w:r>
                    <w:rPr>
                      <w:rFonts w:hint="eastAsia" w:ascii="Arial" w:hAnsi="Arial" w:eastAsia="宋体" w:cs="Arial"/>
                      <w:color w:val="0000FF"/>
                      <w:vertAlign w:val="baseline"/>
                      <w:lang w:val="en-US" w:eastAsia="zh-CN"/>
                    </w:rPr>
                    <w:t>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pStyle w:val="12"/>
                    <w:widowControl w:val="0"/>
                    <w:tabs>
                      <w:tab w:val="left" w:pos="4535"/>
                    </w:tabs>
                    <w:spacing w:line="240" w:lineRule="auto"/>
                    <w:rPr>
                      <w:rFonts w:hint="eastAsia" w:ascii="Arial" w:hAnsi="Arial" w:cs="Arial"/>
                      <w:color w:val="0000FF"/>
                    </w:rPr>
                  </w:pPr>
                  <w:r>
                    <w:rPr>
                      <w:rFonts w:hint="eastAsia" w:ascii="Arial" w:hAnsi="Arial" w:cs="Arial"/>
                      <w:color w:val="0000FF"/>
                    </w:rPr>
                    <w:t>Bright Excel Assets Limited</w:t>
                  </w:r>
                </w:p>
                <w:p>
                  <w:pPr>
                    <w:pStyle w:val="12"/>
                    <w:widowControl w:val="0"/>
                    <w:tabs>
                      <w:tab w:val="left" w:pos="4535"/>
                    </w:tabs>
                    <w:spacing w:line="240" w:lineRule="auto"/>
                    <w:rPr>
                      <w:rFonts w:hint="eastAsia" w:ascii="Arial" w:hAnsi="Arial" w:cs="Arial"/>
                      <w:color w:val="0000FF"/>
                    </w:rPr>
                  </w:pPr>
                  <w:r>
                    <w:rPr>
                      <w:rFonts w:hint="eastAsia" w:ascii="Arial" w:hAnsi="Arial" w:eastAsia="宋体" w:cs="Arial"/>
                      <w:color w:val="0000FF"/>
                      <w:lang w:val="en-US" w:eastAsia="zh-CN"/>
                    </w:rPr>
                    <w:t>(附註 2)</w:t>
                  </w:r>
                </w:p>
              </w:tc>
              <w:tc>
                <w:tcPr>
                  <w:tcW w:w="2694" w:type="dxa"/>
                </w:tcPr>
                <w:p>
                  <w:pPr>
                    <w:pStyle w:val="12"/>
                    <w:widowControl w:val="0"/>
                    <w:tabs>
                      <w:tab w:val="left" w:pos="4535"/>
                    </w:tabs>
                    <w:spacing w:line="240" w:lineRule="auto"/>
                    <w:rPr>
                      <w:rFonts w:hint="default" w:ascii="Arial" w:hAnsi="Arial" w:eastAsia="宋体" w:cs="Arial"/>
                      <w:color w:val="0000FF"/>
                      <w:vertAlign w:val="baseline"/>
                      <w:lang w:val="en-US" w:eastAsia="zh-CN"/>
                    </w:rPr>
                  </w:pPr>
                  <w:r>
                    <w:rPr>
                      <w:rFonts w:hint="eastAsia" w:ascii="Arial" w:hAnsi="Arial" w:eastAsia="宋体" w:cs="Arial"/>
                      <w:color w:val="0000FF"/>
                      <w:vertAlign w:val="baseline"/>
                      <w:lang w:val="en-US" w:eastAsia="zh-CN"/>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pStyle w:val="12"/>
                    <w:widowControl w:val="0"/>
                    <w:tabs>
                      <w:tab w:val="left" w:pos="4535"/>
                    </w:tabs>
                    <w:spacing w:line="240" w:lineRule="auto"/>
                    <w:rPr>
                      <w:rFonts w:hint="eastAsia" w:ascii="Arial" w:hAnsi="Arial" w:cs="Arial"/>
                      <w:color w:val="0000FF"/>
                      <w:vertAlign w:val="baseline"/>
                    </w:rPr>
                  </w:pPr>
                  <w:r>
                    <w:rPr>
                      <w:rFonts w:hint="eastAsia" w:ascii="Arial" w:hAnsi="Arial" w:cs="Arial"/>
                      <w:color w:val="0000FF"/>
                    </w:rPr>
                    <w:t>Venturepharm Holdings Inc.</w:t>
                  </w:r>
                  <w:r>
                    <w:rPr>
                      <w:rFonts w:hint="eastAsia" w:ascii="Arial" w:hAnsi="Arial" w:eastAsia="宋体" w:cs="Arial"/>
                      <w:color w:val="0000FF"/>
                      <w:lang w:val="en-US" w:eastAsia="zh-CN"/>
                    </w:rPr>
                    <w:t>(附註 3)</w:t>
                  </w:r>
                </w:p>
              </w:tc>
              <w:tc>
                <w:tcPr>
                  <w:tcW w:w="2694" w:type="dxa"/>
                </w:tcPr>
                <w:p>
                  <w:pPr>
                    <w:pStyle w:val="12"/>
                    <w:widowControl w:val="0"/>
                    <w:tabs>
                      <w:tab w:val="left" w:pos="4535"/>
                    </w:tabs>
                    <w:spacing w:line="240" w:lineRule="auto"/>
                    <w:rPr>
                      <w:rFonts w:hint="eastAsia" w:ascii="Arial" w:hAnsi="Arial" w:cs="Arial"/>
                      <w:color w:val="0000FF"/>
                      <w:vertAlign w:val="baseline"/>
                    </w:rPr>
                  </w:pPr>
                  <w:r>
                    <w:rPr>
                      <w:rFonts w:hint="eastAsia" w:ascii="Arial" w:hAnsi="Arial" w:eastAsia="宋体" w:cs="Arial"/>
                      <w:color w:val="0000FF"/>
                      <w:vertAlign w:val="baseline"/>
                      <w:lang w:val="en-US" w:eastAsia="zh-CN"/>
                    </w:rPr>
                    <w:t>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pStyle w:val="12"/>
                    <w:widowControl w:val="0"/>
                    <w:tabs>
                      <w:tab w:val="left" w:pos="4535"/>
                    </w:tabs>
                    <w:spacing w:line="240" w:lineRule="auto"/>
                    <w:rPr>
                      <w:rFonts w:hint="eastAsia" w:ascii="Arial" w:hAnsi="Arial" w:cs="Arial"/>
                      <w:color w:val="0000FF"/>
                      <w:vertAlign w:val="baseline"/>
                    </w:rPr>
                  </w:pPr>
                  <w:r>
                    <w:rPr>
                      <w:rFonts w:hint="eastAsia" w:ascii="Arial" w:hAnsi="Arial" w:eastAsia="宋体" w:cs="Arial"/>
                      <w:color w:val="0000FF"/>
                      <w:lang w:val="en-US" w:eastAsia="zh-CN"/>
                    </w:rPr>
                    <w:t>郭夏 (附註 4)</w:t>
                  </w:r>
                </w:p>
              </w:tc>
              <w:tc>
                <w:tcPr>
                  <w:tcW w:w="2694" w:type="dxa"/>
                </w:tcPr>
                <w:p>
                  <w:pPr>
                    <w:pStyle w:val="12"/>
                    <w:widowControl w:val="0"/>
                    <w:tabs>
                      <w:tab w:val="left" w:pos="4535"/>
                    </w:tabs>
                    <w:spacing w:line="240" w:lineRule="auto"/>
                    <w:rPr>
                      <w:rFonts w:hint="default" w:ascii="Arial" w:hAnsi="Arial" w:eastAsia="宋体" w:cs="Arial"/>
                      <w:color w:val="0000FF"/>
                      <w:vertAlign w:val="baseline"/>
                      <w:lang w:val="en-US" w:eastAsia="zh-CN"/>
                    </w:rPr>
                  </w:pPr>
                  <w:r>
                    <w:rPr>
                      <w:rFonts w:hint="eastAsia" w:ascii="Arial" w:hAnsi="Arial" w:eastAsia="宋体" w:cs="Arial"/>
                      <w:color w:val="0000FF"/>
                      <w:vertAlign w:val="baseline"/>
                      <w:lang w:val="en-US" w:eastAsia="zh-CN"/>
                    </w:rPr>
                    <w:t>72.69%</w:t>
                  </w:r>
                </w:p>
              </w:tc>
            </w:tr>
          </w:tbl>
          <w:p>
            <w:pPr>
              <w:pStyle w:val="12"/>
              <w:tabs>
                <w:tab w:val="left" w:pos="4535"/>
              </w:tabs>
              <w:spacing w:line="240" w:lineRule="auto"/>
              <w:rPr>
                <w:rFonts w:hint="eastAsia" w:ascii="Arial" w:hAnsi="Arial" w:eastAsia="宋体" w:cs="Arial"/>
                <w:color w:val="0000FF"/>
                <w:lang w:val="en-US" w:eastAsia="zh-CN"/>
              </w:rPr>
            </w:pPr>
          </w:p>
          <w:p>
            <w:pPr>
              <w:pStyle w:val="12"/>
              <w:tabs>
                <w:tab w:val="left" w:pos="4535"/>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附註 1：Winsland Agents Limited由郭夏先生直接持有100%股權。</w:t>
            </w:r>
          </w:p>
          <w:p>
            <w:pPr>
              <w:pStyle w:val="12"/>
              <w:tabs>
                <w:tab w:val="left" w:pos="4535"/>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附註 2：Venturepharn Holdings Inc.約 47.63% 的股份為郭夏先生持有，約49%的股份為Winsland AgentsLimited持有。</w:t>
            </w:r>
          </w:p>
          <w:p>
            <w:pPr>
              <w:pStyle w:val="12"/>
              <w:tabs>
                <w:tab w:val="left" w:pos="4535"/>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附註 3：Bright Excel Assets Limited全部股權由Venturepharn Holdings Inc.實益擁有。</w:t>
            </w:r>
          </w:p>
          <w:p>
            <w:pPr>
              <w:pStyle w:val="12"/>
              <w:tabs>
                <w:tab w:val="left" w:pos="4535"/>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附註4：Winsland Agent Limited, Venturepharm Holdings Inc. and Bright Excel Assets Limited均為郭夏先生控股公司。除這些公司權益外，郭夏先生個人直接持有本公司 13.35% 的股份。</w:t>
            </w:r>
          </w:p>
        </w:tc>
      </w:tr>
      <w:tr>
        <w:tblPrEx>
          <w:tblCellMar>
            <w:top w:w="0" w:type="dxa"/>
            <w:left w:w="28" w:type="dxa"/>
            <w:bottom w:w="0" w:type="dxa"/>
            <w:right w:w="28" w:type="dxa"/>
          </w:tblCellMar>
        </w:tblPrEx>
        <w:trPr>
          <w:cantSplit/>
        </w:trPr>
        <w:tc>
          <w:tcPr>
            <w:tcW w:w="3686" w:type="dxa"/>
          </w:tcPr>
          <w:p>
            <w:pPr>
              <w:pStyle w:val="12"/>
              <w:tabs>
                <w:tab w:val="left" w:pos="4535"/>
              </w:tabs>
              <w:spacing w:line="240" w:lineRule="auto"/>
              <w:jc w:val="left"/>
              <w:rPr>
                <w:rFonts w:ascii="Arial" w:hAnsi="Arial" w:cs="Arial"/>
                <w:color w:val="auto"/>
              </w:rPr>
            </w:pPr>
          </w:p>
        </w:tc>
        <w:tc>
          <w:tcPr>
            <w:tcW w:w="5443" w:type="dxa"/>
          </w:tcPr>
          <w:p>
            <w:pPr>
              <w:pStyle w:val="12"/>
              <w:tabs>
                <w:tab w:val="left" w:pos="4535"/>
              </w:tabs>
              <w:spacing w:line="240" w:lineRule="auto"/>
              <w:rPr>
                <w:rFonts w:ascii="Arial" w:hAnsi="Arial" w:cs="Arial"/>
                <w:color w:val="0000FF"/>
              </w:rPr>
            </w:pPr>
          </w:p>
        </w:tc>
      </w:tr>
      <w:tr>
        <w:tblPrEx>
          <w:tblCellMar>
            <w:top w:w="0" w:type="dxa"/>
            <w:left w:w="28" w:type="dxa"/>
            <w:bottom w:w="0" w:type="dxa"/>
            <w:right w:w="28" w:type="dxa"/>
          </w:tblCellMar>
        </w:tblPrEx>
        <w:trPr>
          <w:cantSplit/>
          <w:trHeight w:val="785" w:hRule="atLeast"/>
        </w:trPr>
        <w:tc>
          <w:tcPr>
            <w:tcW w:w="3686" w:type="dxa"/>
          </w:tcPr>
          <w:p>
            <w:pPr>
              <w:pStyle w:val="12"/>
              <w:tabs>
                <w:tab w:val="left" w:pos="4535"/>
              </w:tabs>
              <w:spacing w:line="240" w:lineRule="auto"/>
              <w:jc w:val="left"/>
              <w:rPr>
                <w:rFonts w:hint="eastAsia" w:ascii="Arial" w:hAnsi="Arial" w:cs="Arial"/>
                <w:color w:val="auto"/>
              </w:rPr>
            </w:pPr>
            <w:r>
              <w:rPr>
                <w:rFonts w:hint="eastAsia" w:ascii="Arial" w:hAnsi="Arial" w:cs="Arial"/>
                <w:color w:val="auto"/>
              </w:rPr>
              <w:t>在本交易所創業板或主機板上市</w:t>
            </w:r>
          </w:p>
          <w:p>
            <w:pPr>
              <w:pStyle w:val="12"/>
              <w:tabs>
                <w:tab w:val="left" w:pos="4535"/>
              </w:tabs>
              <w:spacing w:line="240" w:lineRule="auto"/>
              <w:jc w:val="left"/>
              <w:rPr>
                <w:rFonts w:hint="eastAsia" w:ascii="Arial" w:hAnsi="Arial" w:cs="Arial"/>
                <w:color w:val="auto"/>
              </w:rPr>
            </w:pPr>
            <w:r>
              <w:rPr>
                <w:rFonts w:hint="eastAsia" w:ascii="Arial" w:hAnsi="Arial" w:cs="Arial"/>
                <w:color w:val="auto"/>
              </w:rPr>
              <w:t>而與該公司屬同一集團的公司的</w:t>
            </w:r>
          </w:p>
          <w:p>
            <w:pPr>
              <w:pStyle w:val="12"/>
              <w:tabs>
                <w:tab w:val="left" w:pos="4535"/>
              </w:tabs>
              <w:spacing w:line="240" w:lineRule="auto"/>
              <w:jc w:val="left"/>
              <w:rPr>
                <w:rFonts w:hint="eastAsia" w:ascii="Arial" w:hAnsi="Arial" w:eastAsia="宋体" w:cs="Arial"/>
                <w:lang w:eastAsia="zh-CN"/>
              </w:rPr>
            </w:pPr>
            <w:r>
              <w:rPr>
                <w:rFonts w:hint="eastAsia" w:ascii="Arial" w:hAnsi="Arial" w:cs="Arial"/>
                <w:color w:val="auto"/>
              </w:rPr>
              <w:t>名稱</w:t>
            </w:r>
            <w:r>
              <w:rPr>
                <w:rFonts w:hint="eastAsia" w:ascii="Arial" w:hAnsi="Arial" w:eastAsia="宋体" w:cs="Arial"/>
                <w:color w:val="auto"/>
                <w:lang w:eastAsia="zh-CN"/>
              </w:rPr>
              <w:t>：</w:t>
            </w:r>
          </w:p>
        </w:tc>
        <w:tc>
          <w:tcPr>
            <w:tcW w:w="5443" w:type="dxa"/>
            <w:tcBorders>
              <w:bottom w:val="dotted" w:color="auto" w:sz="2" w:space="0"/>
            </w:tcBorders>
          </w:tcPr>
          <w:p>
            <w:pPr>
              <w:pStyle w:val="12"/>
              <w:tabs>
                <w:tab w:val="left" w:pos="4535"/>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不適用</w:t>
            </w:r>
          </w:p>
        </w:tc>
      </w:tr>
      <w:tr>
        <w:tblPrEx>
          <w:tblCellMar>
            <w:top w:w="0" w:type="dxa"/>
            <w:left w:w="28" w:type="dxa"/>
            <w:bottom w:w="0" w:type="dxa"/>
            <w:right w:w="28" w:type="dxa"/>
          </w:tblCellMar>
        </w:tblPrEx>
        <w:trPr>
          <w:cantSplit/>
          <w:trHeight w:val="174" w:hRule="atLeast"/>
        </w:trPr>
        <w:tc>
          <w:tcPr>
            <w:tcW w:w="3686"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Height w:val="184" w:hRule="atLeast"/>
        </w:trPr>
        <w:tc>
          <w:tcPr>
            <w:tcW w:w="3686"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cs="Arial"/>
                <w:color w:val="auto"/>
              </w:rPr>
              <w:t>財政年度結算日期</w:t>
            </w:r>
            <w:r>
              <w:rPr>
                <w:rFonts w:hint="eastAsia" w:ascii="Arial" w:hAnsi="Arial" w:eastAsia="宋体" w:cs="Arial"/>
                <w:color w:val="auto"/>
                <w:lang w:eastAsia="zh-CN"/>
              </w:rPr>
              <w:t>：</w:t>
            </w:r>
          </w:p>
        </w:tc>
        <w:tc>
          <w:tcPr>
            <w:tcW w:w="5443" w:type="dxa"/>
            <w:tcBorders>
              <w:bottom w:val="dotted" w:color="auto" w:sz="2" w:space="0"/>
            </w:tcBorders>
          </w:tcPr>
          <w:p>
            <w:pPr>
              <w:pStyle w:val="12"/>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12月31日</w:t>
            </w: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cs="Arial"/>
                <w:color w:val="auto"/>
              </w:rPr>
              <w:t>注册地址</w:t>
            </w:r>
            <w:r>
              <w:rPr>
                <w:rFonts w:hint="eastAsia" w:ascii="Arial" w:hAnsi="Arial" w:eastAsia="宋体" w:cs="Arial"/>
                <w:color w:val="auto"/>
                <w:lang w:eastAsia="zh-CN"/>
              </w:rPr>
              <w:t>：</w:t>
            </w:r>
          </w:p>
        </w:tc>
        <w:tc>
          <w:tcPr>
            <w:tcW w:w="5443" w:type="dxa"/>
            <w:tcBorders>
              <w:bottom w:val="dotted" w:color="auto" w:sz="2" w:space="0"/>
            </w:tcBorders>
          </w:tcPr>
          <w:p>
            <w:pPr>
              <w:pStyle w:val="12"/>
              <w:tabs>
                <w:tab w:val="clear" w:pos="567"/>
                <w:tab w:val="clear" w:pos="1134"/>
                <w:tab w:val="clear" w:pos="1701"/>
                <w:tab w:val="clear" w:pos="2268"/>
              </w:tabs>
              <w:spacing w:line="240" w:lineRule="auto"/>
              <w:rPr>
                <w:rFonts w:hint="eastAsia" w:ascii="Arial" w:hAnsi="Arial" w:cs="Arial"/>
                <w:color w:val="0000FF"/>
              </w:rPr>
            </w:pPr>
            <w:r>
              <w:rPr>
                <w:rFonts w:hint="eastAsia" w:ascii="Arial" w:hAnsi="Arial" w:cs="Arial"/>
                <w:color w:val="0000FF"/>
              </w:rPr>
              <w:t>Vistra (Cayman) Limited</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開曼群島</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大開群島</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西灣道802號</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芙蓉路宏閣</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郵箱31119</w:t>
            </w:r>
          </w:p>
          <w:p>
            <w:pPr>
              <w:pStyle w:val="12"/>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KY1-1205</w:t>
            </w:r>
          </w:p>
        </w:tc>
      </w:tr>
      <w:tr>
        <w:tblPrEx>
          <w:tblCellMar>
            <w:top w:w="0" w:type="dxa"/>
            <w:left w:w="28" w:type="dxa"/>
            <w:bottom w:w="0" w:type="dxa"/>
            <w:right w:w="28" w:type="dxa"/>
          </w:tblCellMar>
        </w:tblPrEx>
        <w:trPr>
          <w:cantSplit/>
        </w:trPr>
        <w:tc>
          <w:tcPr>
            <w:tcW w:w="3686" w:type="dxa"/>
          </w:tcPr>
          <w:p>
            <w:pPr>
              <w:pStyle w:val="12"/>
              <w:tabs>
                <w:tab w:val="left" w:pos="4535"/>
              </w:tabs>
              <w:spacing w:line="240" w:lineRule="auto"/>
              <w:jc w:val="left"/>
              <w:rPr>
                <w:rFonts w:ascii="Arial" w:hAnsi="Arial" w:cs="Arial"/>
                <w:color w:val="auto"/>
              </w:rPr>
            </w:pPr>
          </w:p>
        </w:tc>
        <w:tc>
          <w:tcPr>
            <w:tcW w:w="5443" w:type="dxa"/>
          </w:tcPr>
          <w:p>
            <w:pPr>
              <w:pStyle w:val="12"/>
              <w:tabs>
                <w:tab w:val="left" w:pos="4535"/>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2"/>
              <w:tabs>
                <w:tab w:val="left" w:pos="4535"/>
              </w:tabs>
              <w:spacing w:line="240" w:lineRule="auto"/>
              <w:jc w:val="left"/>
              <w:rPr>
                <w:rFonts w:hint="eastAsia" w:ascii="Arial" w:hAnsi="Arial" w:eastAsia="宋体" w:cs="Arial"/>
                <w:lang w:eastAsia="zh-CN"/>
              </w:rPr>
            </w:pPr>
            <w:r>
              <w:rPr>
                <w:rFonts w:hint="eastAsia" w:ascii="Arial" w:hAnsi="Arial" w:cs="Arial"/>
                <w:color w:val="auto"/>
              </w:rPr>
              <w:t>總辦事處及主要營業地點</w:t>
            </w:r>
            <w:r>
              <w:rPr>
                <w:rFonts w:hint="eastAsia" w:ascii="Arial" w:hAnsi="Arial" w:eastAsia="宋体" w:cs="Arial"/>
                <w:color w:val="auto"/>
                <w:lang w:eastAsia="zh-CN"/>
              </w:rPr>
              <w:t>：</w:t>
            </w:r>
          </w:p>
        </w:tc>
        <w:tc>
          <w:tcPr>
            <w:tcW w:w="5443" w:type="dxa"/>
            <w:tcBorders>
              <w:bottom w:val="dotted" w:color="auto" w:sz="2" w:space="0"/>
            </w:tcBorders>
          </w:tcPr>
          <w:p>
            <w:pPr>
              <w:pStyle w:val="12"/>
              <w:tabs>
                <w:tab w:val="left" w:pos="4535"/>
                <w:tab w:val="clear" w:pos="567"/>
                <w:tab w:val="clear" w:pos="1134"/>
                <w:tab w:val="clear" w:pos="1701"/>
                <w:tab w:val="clear" w:pos="2268"/>
              </w:tabs>
              <w:spacing w:line="240" w:lineRule="auto"/>
              <w:rPr>
                <w:rFonts w:hint="default" w:ascii="Arial" w:hAnsi="Arial" w:eastAsia="宋体" w:cs="Arial"/>
                <w:b/>
                <w:bCs/>
                <w:color w:val="0000FF"/>
                <w:lang w:val="en-US" w:eastAsia="zh-CN"/>
              </w:rPr>
            </w:pPr>
            <w:r>
              <w:rPr>
                <w:rFonts w:hint="eastAsia" w:ascii="Arial" w:hAnsi="Arial" w:eastAsia="宋体" w:cs="Arial"/>
                <w:b/>
                <w:bCs/>
                <w:color w:val="0000FF"/>
                <w:lang w:val="en-US" w:eastAsia="zh-CN"/>
              </w:rPr>
              <w:t>中國總辦事處</w:t>
            </w:r>
          </w:p>
          <w:p>
            <w:pPr>
              <w:pStyle w:val="12"/>
              <w:tabs>
                <w:tab w:val="left" w:pos="4535"/>
                <w:tab w:val="clear" w:pos="567"/>
                <w:tab w:val="clear" w:pos="1134"/>
                <w:tab w:val="clear" w:pos="1701"/>
                <w:tab w:val="clear" w:pos="2268"/>
              </w:tabs>
              <w:spacing w:line="240" w:lineRule="auto"/>
              <w:rPr>
                <w:rFonts w:hint="eastAsia" w:ascii="Arial" w:hAnsi="Arial" w:eastAsia="宋体" w:cs="Arial"/>
                <w:b w:val="0"/>
                <w:bCs w:val="0"/>
                <w:color w:val="0000FF"/>
                <w:lang w:val="en-US" w:eastAsia="zh-CN"/>
              </w:rPr>
            </w:pPr>
            <w:r>
              <w:rPr>
                <w:rFonts w:hint="eastAsia" w:ascii="Arial" w:hAnsi="Arial" w:eastAsia="宋体" w:cs="Arial"/>
                <w:b w:val="0"/>
                <w:bCs w:val="0"/>
                <w:color w:val="0000FF"/>
                <w:lang w:val="en-US" w:eastAsia="zh-CN"/>
              </w:rPr>
              <w:t>北京市朝陽區建外SOHO17號樓</w:t>
            </w:r>
          </w:p>
          <w:p>
            <w:pPr>
              <w:pStyle w:val="12"/>
              <w:tabs>
                <w:tab w:val="left" w:pos="4535"/>
                <w:tab w:val="clear" w:pos="567"/>
                <w:tab w:val="clear" w:pos="1134"/>
                <w:tab w:val="clear" w:pos="1701"/>
                <w:tab w:val="clear" w:pos="2268"/>
              </w:tabs>
              <w:spacing w:line="240" w:lineRule="auto"/>
              <w:rPr>
                <w:rFonts w:hint="default" w:ascii="Arial" w:hAnsi="Arial" w:eastAsia="宋体" w:cs="Arial"/>
                <w:b w:val="0"/>
                <w:bCs w:val="0"/>
                <w:color w:val="0000FF"/>
                <w:lang w:val="en-US" w:eastAsia="zh-CN"/>
              </w:rPr>
            </w:pPr>
          </w:p>
          <w:p>
            <w:pPr>
              <w:pStyle w:val="12"/>
              <w:tabs>
                <w:tab w:val="left" w:pos="4535"/>
                <w:tab w:val="clear" w:pos="567"/>
                <w:tab w:val="clear" w:pos="1134"/>
                <w:tab w:val="clear" w:pos="1701"/>
                <w:tab w:val="clear" w:pos="2268"/>
              </w:tabs>
              <w:spacing w:line="240" w:lineRule="auto"/>
              <w:rPr>
                <w:rFonts w:hint="eastAsia" w:ascii="Arial" w:hAnsi="Arial" w:eastAsia="宋体" w:cs="Arial"/>
                <w:b/>
                <w:bCs/>
                <w:color w:val="0000FF"/>
                <w:lang w:val="en-US" w:eastAsia="zh-CN"/>
              </w:rPr>
            </w:pPr>
            <w:r>
              <w:rPr>
                <w:rFonts w:hint="eastAsia" w:ascii="Arial" w:hAnsi="Arial" w:eastAsia="宋体" w:cs="Arial"/>
                <w:b/>
                <w:bCs/>
                <w:color w:val="0000FF"/>
                <w:lang w:val="en-US" w:eastAsia="zh-CN"/>
              </w:rPr>
              <w:t>香港主要營業地點</w:t>
            </w:r>
          </w:p>
          <w:p>
            <w:pPr>
              <w:pStyle w:val="12"/>
              <w:tabs>
                <w:tab w:val="left" w:pos="4535"/>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香港灣仔灣仔道133號星航咨訊中心19樓B座</w:t>
            </w: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cs="Arial"/>
                <w:color w:val="auto"/>
              </w:rPr>
              <w:t>網址 （如適用）</w:t>
            </w:r>
            <w:r>
              <w:rPr>
                <w:rFonts w:hint="eastAsia" w:ascii="Arial" w:hAnsi="Arial" w:eastAsia="宋体" w:cs="Arial"/>
                <w:color w:val="auto"/>
                <w:lang w:eastAsia="zh-CN"/>
              </w:rPr>
              <w:t>：</w:t>
            </w:r>
          </w:p>
        </w:tc>
        <w:tc>
          <w:tcPr>
            <w:tcW w:w="5443" w:type="dxa"/>
            <w:tcBorders>
              <w:bottom w:val="dotted" w:color="auto" w:sz="2" w:space="0"/>
            </w:tcBorders>
          </w:tcPr>
          <w:p>
            <w:pPr>
              <w:pStyle w:val="12"/>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http：//www.chgi.net</w:t>
            </w: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eastAsia="宋体" w:cs="Arial"/>
                <w:color w:val="auto"/>
                <w:lang w:val="en-US" w:eastAsia="zh-CN"/>
              </w:rPr>
              <w:t>股份過戶登記處</w:t>
            </w:r>
            <w:r>
              <w:rPr>
                <w:rFonts w:hint="eastAsia" w:ascii="Arial" w:hAnsi="Arial" w:eastAsia="宋体" w:cs="Arial"/>
                <w:color w:val="auto"/>
                <w:lang w:eastAsia="zh-CN"/>
              </w:rPr>
              <w:t>：</w:t>
            </w:r>
          </w:p>
        </w:tc>
        <w:tc>
          <w:tcPr>
            <w:tcW w:w="5443" w:type="dxa"/>
            <w:tcBorders>
              <w:bottom w:val="dotted" w:color="auto" w:sz="2" w:space="0"/>
            </w:tcBorders>
          </w:tcPr>
          <w:p>
            <w:pPr>
              <w:pStyle w:val="12"/>
              <w:tabs>
                <w:tab w:val="clear" w:pos="567"/>
                <w:tab w:val="clear" w:pos="1134"/>
                <w:tab w:val="clear" w:pos="1701"/>
                <w:tab w:val="clear" w:pos="2268"/>
              </w:tabs>
              <w:spacing w:line="240" w:lineRule="auto"/>
              <w:rPr>
                <w:rFonts w:hint="eastAsia" w:ascii="Arial" w:hAnsi="Arial" w:eastAsia="宋体" w:cs="Arial"/>
                <w:b/>
                <w:bCs/>
                <w:color w:val="0000FF"/>
                <w:lang w:val="en-US" w:eastAsia="zh-CN"/>
              </w:rPr>
            </w:pPr>
            <w:r>
              <w:rPr>
                <w:rFonts w:hint="eastAsia" w:ascii="Arial" w:hAnsi="Arial" w:eastAsia="宋体" w:cs="Arial"/>
                <w:b/>
                <w:bCs/>
                <w:color w:val="0000FF"/>
                <w:lang w:val="en-US" w:eastAsia="zh-CN"/>
              </w:rPr>
              <w:t>股份過戶登記總處</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 xml:space="preserve">Royal Bank of Canada Trust Company (Cayman) Limited </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 xml:space="preserve">4th Floor, Royal Bank House </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 xml:space="preserve">24 Shedden Road, George Town </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 xml:space="preserve">Grand Cayman KY1-1110 </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r>
              <w:rPr>
                <w:rFonts w:hint="eastAsia" w:ascii="Arial" w:hAnsi="Arial" w:eastAsia="宋体" w:cs="Arial"/>
                <w:color w:val="0000FF"/>
                <w:lang w:val="en-US" w:eastAsia="zh-CN"/>
              </w:rPr>
              <w:t>Cayman Islands</w:t>
            </w:r>
          </w:p>
          <w:p>
            <w:pPr>
              <w:pStyle w:val="12"/>
              <w:tabs>
                <w:tab w:val="clear" w:pos="567"/>
                <w:tab w:val="clear" w:pos="1134"/>
                <w:tab w:val="clear" w:pos="1701"/>
                <w:tab w:val="clear" w:pos="2268"/>
              </w:tabs>
              <w:spacing w:line="240" w:lineRule="auto"/>
              <w:rPr>
                <w:rFonts w:hint="eastAsia" w:ascii="Arial" w:hAnsi="Arial" w:eastAsia="宋体" w:cs="Arial"/>
                <w:color w:val="0000FF"/>
                <w:lang w:val="en-US" w:eastAsia="zh-CN"/>
              </w:rPr>
            </w:pPr>
          </w:p>
          <w:p>
            <w:pPr>
              <w:pStyle w:val="12"/>
              <w:tabs>
                <w:tab w:val="clear" w:pos="567"/>
                <w:tab w:val="clear" w:pos="1134"/>
                <w:tab w:val="clear" w:pos="1701"/>
                <w:tab w:val="clear" w:pos="2268"/>
              </w:tabs>
              <w:spacing w:line="240" w:lineRule="auto"/>
              <w:rPr>
                <w:rFonts w:hint="default" w:ascii="Arial" w:hAnsi="Arial" w:eastAsia="宋体" w:cs="Arial"/>
                <w:b/>
                <w:bCs/>
                <w:color w:val="0000FF"/>
                <w:lang w:val="en-US" w:eastAsia="zh-CN"/>
              </w:rPr>
            </w:pPr>
            <w:r>
              <w:rPr>
                <w:rFonts w:hint="eastAsia" w:ascii="Arial" w:hAnsi="Arial" w:eastAsia="宋体" w:cs="Arial"/>
                <w:b/>
                <w:bCs/>
                <w:color w:val="0000FF"/>
                <w:lang w:val="en-US" w:eastAsia="zh-CN"/>
              </w:rPr>
              <w:t>香港股份過戶登記分處</w:t>
            </w:r>
          </w:p>
          <w:p>
            <w:pPr>
              <w:pStyle w:val="12"/>
              <w:tabs>
                <w:tab w:val="clear" w:pos="567"/>
                <w:tab w:val="clear" w:pos="1134"/>
                <w:tab w:val="clear" w:pos="1701"/>
                <w:tab w:val="clear" w:pos="2268"/>
              </w:tabs>
              <w:spacing w:line="240" w:lineRule="auto"/>
              <w:rPr>
                <w:rFonts w:hint="eastAsia" w:ascii="Arial" w:hAnsi="Arial" w:eastAsia="宋体" w:cs="Arial"/>
                <w:b w:val="0"/>
                <w:bCs w:val="0"/>
                <w:color w:val="0000FF"/>
                <w:lang w:val="en-US" w:eastAsia="zh-CN"/>
              </w:rPr>
            </w:pPr>
            <w:r>
              <w:rPr>
                <w:rFonts w:hint="eastAsia" w:ascii="Arial" w:hAnsi="Arial" w:eastAsia="宋体" w:cs="Arial"/>
                <w:b w:val="0"/>
                <w:bCs w:val="0"/>
                <w:color w:val="0000FF"/>
                <w:lang w:val="en-US" w:eastAsia="zh-CN"/>
              </w:rPr>
              <w:t>卓佳標準有限公司</w:t>
            </w:r>
          </w:p>
          <w:p>
            <w:pPr>
              <w:pStyle w:val="12"/>
              <w:tabs>
                <w:tab w:val="clear" w:pos="567"/>
                <w:tab w:val="clear" w:pos="1134"/>
                <w:tab w:val="clear" w:pos="1701"/>
                <w:tab w:val="clear" w:pos="2268"/>
              </w:tabs>
              <w:spacing w:line="240" w:lineRule="auto"/>
              <w:rPr>
                <w:rFonts w:hint="eastAsia" w:ascii="Arial" w:hAnsi="Arial" w:eastAsia="宋体" w:cs="Arial"/>
                <w:b w:val="0"/>
                <w:bCs w:val="0"/>
                <w:color w:val="0000FF"/>
                <w:lang w:val="en-US" w:eastAsia="zh-CN"/>
              </w:rPr>
            </w:pPr>
            <w:r>
              <w:rPr>
                <w:rFonts w:hint="eastAsia" w:ascii="Arial" w:hAnsi="Arial" w:eastAsia="宋体" w:cs="Arial"/>
                <w:b w:val="0"/>
                <w:bCs w:val="0"/>
                <w:color w:val="0000FF"/>
                <w:lang w:val="en-US" w:eastAsia="zh-CN"/>
              </w:rPr>
              <w:t>香港夏愨道16號</w:t>
            </w:r>
          </w:p>
          <w:p>
            <w:pPr>
              <w:pStyle w:val="12"/>
              <w:tabs>
                <w:tab w:val="clear" w:pos="567"/>
                <w:tab w:val="clear" w:pos="1134"/>
                <w:tab w:val="clear" w:pos="1701"/>
                <w:tab w:val="clear" w:pos="2268"/>
              </w:tabs>
              <w:spacing w:line="240" w:lineRule="auto"/>
              <w:rPr>
                <w:rFonts w:hint="default" w:ascii="Arial" w:hAnsi="Arial" w:eastAsia="宋体" w:cs="Arial"/>
                <w:b w:val="0"/>
                <w:bCs w:val="0"/>
                <w:color w:val="0000FF"/>
                <w:lang w:val="en-US" w:eastAsia="zh-CN"/>
              </w:rPr>
            </w:pPr>
            <w:r>
              <w:rPr>
                <w:rFonts w:hint="eastAsia" w:ascii="Arial" w:hAnsi="Arial" w:eastAsia="宋体" w:cs="Arial"/>
                <w:b w:val="0"/>
                <w:bCs w:val="0"/>
                <w:color w:val="0000FF"/>
                <w:lang w:val="en-US" w:eastAsia="zh-CN"/>
              </w:rPr>
              <w:t>遠東金融中心17樓</w:t>
            </w: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5443"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686"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eastAsia="宋体" w:cs="Arial"/>
                <w:color w:val="auto"/>
                <w:lang w:val="en-US" w:eastAsia="zh-CN"/>
              </w:rPr>
              <w:t>核數師</w:t>
            </w:r>
            <w:r>
              <w:rPr>
                <w:rFonts w:hint="eastAsia" w:ascii="Arial" w:hAnsi="Arial" w:eastAsia="宋体" w:cs="Arial"/>
                <w:color w:val="auto"/>
                <w:lang w:eastAsia="zh-CN"/>
              </w:rPr>
              <w:t>：</w:t>
            </w:r>
          </w:p>
        </w:tc>
        <w:tc>
          <w:tcPr>
            <w:tcW w:w="5443" w:type="dxa"/>
            <w:tcBorders>
              <w:bottom w:val="dotted" w:color="auto" w:sz="2" w:space="0"/>
            </w:tcBorders>
          </w:tcPr>
          <w:p>
            <w:pPr>
              <w:pStyle w:val="12"/>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和信會計師事務所有限公司</w:t>
            </w:r>
          </w:p>
        </w:tc>
      </w:tr>
    </w:tbl>
    <w:p>
      <w:pPr>
        <w:pStyle w:val="12"/>
        <w:spacing w:line="240" w:lineRule="auto"/>
        <w:rPr>
          <w:rFonts w:ascii="Arial" w:hAnsi="Arial" w:cs="Arial"/>
          <w:color w:val="auto"/>
        </w:rPr>
      </w:pPr>
    </w:p>
    <w:p>
      <w:pPr>
        <w:pStyle w:val="12"/>
        <w:keepNext/>
        <w:spacing w:line="240" w:lineRule="auto"/>
        <w:ind w:left="567" w:hanging="567"/>
        <w:rPr>
          <w:rFonts w:hint="default" w:ascii="Arial" w:hAnsi="Arial" w:eastAsia="宋体" w:cs="Arial"/>
          <w:b/>
          <w:i/>
          <w:iCs/>
          <w:color w:val="auto"/>
          <w:lang w:val="en-US" w:eastAsia="zh-CN"/>
        </w:rPr>
      </w:pPr>
      <w:r>
        <w:rPr>
          <w:rFonts w:ascii="Arial" w:hAnsi="Arial" w:eastAsia="宋体" w:cs="Arial"/>
          <w:b/>
          <w:i/>
          <w:iCs/>
          <w:color w:val="auto"/>
        </w:rPr>
        <w:t xml:space="preserve">B. </w:t>
      </w:r>
      <w:r>
        <w:rPr>
          <w:rFonts w:hint="eastAsia" w:ascii="Arial" w:hAnsi="Arial" w:eastAsia="宋体" w:cs="Arial"/>
          <w:b/>
          <w:i/>
          <w:iCs/>
          <w:color w:val="auto"/>
          <w:lang w:val="en-US" w:eastAsia="zh-CN"/>
        </w:rPr>
        <w:t>業務活動</w:t>
      </w:r>
    </w:p>
    <w:p>
      <w:pPr>
        <w:pStyle w:val="12"/>
        <w:keepNext/>
        <w:spacing w:line="240" w:lineRule="auto"/>
        <w:rPr>
          <w:rFonts w:ascii="Arial" w:hAnsi="Arial" w:cs="Arial"/>
          <w:color w:val="auto"/>
        </w:rPr>
      </w:pPr>
    </w:p>
    <w:p>
      <w:pPr>
        <w:pStyle w:val="12"/>
        <w:keepNext/>
        <w:spacing w:line="240" w:lineRule="auto"/>
        <w:rPr>
          <w:rFonts w:ascii="Arial" w:hAnsi="Arial" w:cs="Arial"/>
          <w:i/>
          <w:color w:val="auto"/>
        </w:rPr>
      </w:pPr>
      <w:r>
        <w:rPr>
          <w:rFonts w:ascii="Arial" w:hAnsi="Arial" w:eastAsia="宋体" w:cs="Arial"/>
          <w:i/>
          <w:color w:val="auto"/>
        </w:rPr>
        <w:t>(</w:t>
      </w:r>
      <w:r>
        <w:rPr>
          <w:rFonts w:hint="eastAsia" w:ascii="Arial" w:hAnsi="Arial" w:cs="Arial"/>
          <w:i/>
          <w:color w:val="auto"/>
        </w:rPr>
        <w:t>請簡要列出該公司及其附屬公司從事的業務</w:t>
      </w:r>
      <w:r>
        <w:rPr>
          <w:rFonts w:ascii="Arial" w:hAnsi="Arial" w:eastAsia="宋体" w:cs="Arial"/>
          <w:i/>
          <w:color w:val="auto"/>
        </w:rPr>
        <w:t>)</w:t>
      </w:r>
    </w:p>
    <w:p>
      <w:pPr>
        <w:pStyle w:val="12"/>
        <w:spacing w:line="240" w:lineRule="auto"/>
        <w:rPr>
          <w:rFonts w:ascii="Arial" w:hAnsi="Arial" w:cs="Arial"/>
          <w:color w:val="0000FF"/>
        </w:rPr>
      </w:pPr>
    </w:p>
    <w:p>
      <w:pPr>
        <w:pStyle w:val="12"/>
        <w:spacing w:line="240" w:lineRule="auto"/>
        <w:rPr>
          <w:rFonts w:ascii="Arial" w:hAnsi="Arial" w:cs="Arial"/>
          <w:color w:val="0000FF"/>
        </w:rPr>
      </w:pPr>
      <w:r>
        <w:rPr>
          <w:rFonts w:hint="eastAsia" w:ascii="Arial" w:hAnsi="Arial" w:cs="Arial"/>
          <w:color w:val="0000FF"/>
        </w:rPr>
        <w:t xml:space="preserve">本集團主營業務為提供一站式的集成制藥服務，包括臨床研究服務，藥品研究與開發以及技術轉讓。. </w:t>
      </w:r>
    </w:p>
    <w:p>
      <w:pPr>
        <w:pStyle w:val="12"/>
        <w:spacing w:line="240" w:lineRule="auto"/>
        <w:rPr>
          <w:rFonts w:ascii="Arial" w:hAnsi="Arial" w:cs="Arial"/>
          <w:color w:val="auto"/>
        </w:rPr>
      </w:pPr>
    </w:p>
    <w:p>
      <w:pPr>
        <w:pStyle w:val="12"/>
        <w:keepNext/>
        <w:spacing w:line="240" w:lineRule="auto"/>
        <w:rPr>
          <w:rFonts w:ascii="Arial" w:hAnsi="Arial" w:cs="Arial"/>
          <w:b/>
          <w:i/>
          <w:iCs/>
          <w:color w:val="auto"/>
        </w:rPr>
      </w:pPr>
      <w:r>
        <w:rPr>
          <w:rFonts w:ascii="Arial" w:hAnsi="Arial" w:eastAsia="宋体" w:cs="Arial"/>
          <w:b/>
          <w:i/>
          <w:iCs/>
          <w:color w:val="auto"/>
        </w:rPr>
        <w:t xml:space="preserve">C. </w:t>
      </w:r>
      <w:r>
        <w:rPr>
          <w:rFonts w:hint="eastAsia" w:ascii="Arial" w:hAnsi="Arial" w:cs="Arial"/>
          <w:b/>
          <w:i/>
          <w:iCs/>
          <w:color w:val="auto"/>
        </w:rPr>
        <w:t>普通股</w:t>
      </w:r>
    </w:p>
    <w:p>
      <w:pPr>
        <w:pStyle w:val="12"/>
        <w:keepNext/>
        <w:spacing w:line="240" w:lineRule="auto"/>
        <w:rPr>
          <w:rFonts w:ascii="Arial" w:hAnsi="Arial" w:cs="Arial"/>
          <w:color w:val="auto"/>
        </w:rPr>
      </w:pPr>
    </w:p>
    <w:tbl>
      <w:tblPr>
        <w:tblStyle w:val="5"/>
        <w:tblW w:w="0" w:type="auto"/>
        <w:tblInd w:w="0" w:type="dxa"/>
        <w:tblLayout w:type="fixed"/>
        <w:tblCellMar>
          <w:top w:w="0" w:type="dxa"/>
          <w:left w:w="28" w:type="dxa"/>
          <w:bottom w:w="0" w:type="dxa"/>
          <w:right w:w="28" w:type="dxa"/>
        </w:tblCellMar>
      </w:tblPr>
      <w:tblGrid>
        <w:gridCol w:w="3119"/>
        <w:gridCol w:w="6010"/>
      </w:tblGrid>
      <w:tr>
        <w:tblPrEx>
          <w:tblCellMar>
            <w:top w:w="0" w:type="dxa"/>
            <w:left w:w="28" w:type="dxa"/>
            <w:bottom w:w="0" w:type="dxa"/>
            <w:right w:w="28" w:type="dxa"/>
          </w:tblCellMar>
        </w:tblPrEx>
        <w:trPr>
          <w:cantSplit/>
        </w:trPr>
        <w:tc>
          <w:tcPr>
            <w:tcW w:w="3119" w:type="dxa"/>
          </w:tcPr>
          <w:p>
            <w:pPr>
              <w:pStyle w:val="12"/>
              <w:spacing w:line="240" w:lineRule="auto"/>
              <w:jc w:val="left"/>
              <w:rPr>
                <w:rFonts w:hint="eastAsia" w:ascii="Arial" w:hAnsi="Arial" w:eastAsia="宋体" w:cs="Arial"/>
                <w:lang w:eastAsia="zh-CN"/>
              </w:rPr>
            </w:pPr>
            <w:r>
              <w:rPr>
                <w:rFonts w:hint="eastAsia" w:ascii="Arial" w:hAnsi="Arial" w:cs="Arial"/>
                <w:color w:val="auto"/>
              </w:rPr>
              <w:t>已發行普通股數目:</w:t>
            </w:r>
          </w:p>
        </w:tc>
        <w:tc>
          <w:tcPr>
            <w:tcW w:w="6010" w:type="dxa"/>
            <w:tcBorders>
              <w:bottom w:val="dotted" w:color="auto" w:sz="2" w:space="0"/>
            </w:tcBorders>
          </w:tcPr>
          <w:p>
            <w:pPr>
              <w:pStyle w:val="12"/>
              <w:tabs>
                <w:tab w:val="left" w:pos="4535"/>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995,351,660</w:t>
            </w: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cs="Arial"/>
                <w:color w:val="auto"/>
              </w:rPr>
              <w:t>已</w:t>
            </w:r>
            <w:r>
              <w:rPr>
                <w:rFonts w:hint="eastAsia" w:ascii="Arial" w:hAnsi="Arial" w:eastAsia="宋体" w:cs="Arial"/>
                <w:color w:val="auto"/>
                <w:lang w:val="en-US" w:eastAsia="zh-CN"/>
              </w:rPr>
              <w:t>發</w:t>
            </w:r>
            <w:r>
              <w:rPr>
                <w:rFonts w:hint="eastAsia" w:ascii="Arial" w:hAnsi="Arial" w:cs="Arial"/>
                <w:color w:val="auto"/>
              </w:rPr>
              <w:t>行普通股面值</w:t>
            </w:r>
            <w:r>
              <w:rPr>
                <w:rFonts w:hint="eastAsia" w:ascii="Arial" w:hAnsi="Arial" w:eastAsia="宋体" w:cs="Arial"/>
                <w:color w:val="auto"/>
                <w:lang w:eastAsia="zh-CN"/>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HK$0.10</w:t>
            </w: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r>
              <w:rPr>
                <w:rFonts w:hint="eastAsia" w:ascii="Arial" w:hAnsi="Arial" w:cs="Arial"/>
                <w:color w:val="auto"/>
              </w:rPr>
              <w:t>每手買賣單位（股份數目）</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20000</w:t>
            </w: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hint="eastAsia" w:ascii="Arial" w:hAnsi="Arial" w:cs="Arial"/>
                <w:color w:val="auto"/>
              </w:rPr>
            </w:pPr>
            <w:r>
              <w:rPr>
                <w:rFonts w:hint="eastAsia" w:ascii="Arial" w:hAnsi="Arial" w:cs="Arial"/>
                <w:color w:val="auto"/>
              </w:rPr>
              <w:t>其他證券交易所 （該普通股份亦於</w:t>
            </w:r>
          </w:p>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cs="Arial"/>
                <w:color w:val="auto"/>
              </w:rPr>
              <w:t>其上市） 的名稱</w:t>
            </w:r>
            <w:r>
              <w:rPr>
                <w:rFonts w:hint="eastAsia" w:ascii="Arial" w:hAnsi="Arial" w:eastAsia="宋体" w:cs="Arial"/>
                <w:color w:val="auto"/>
                <w:lang w:eastAsia="zh-CN"/>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不適用</w:t>
            </w:r>
          </w:p>
        </w:tc>
      </w:tr>
    </w:tbl>
    <w:p>
      <w:pPr>
        <w:pStyle w:val="12"/>
        <w:spacing w:line="240" w:lineRule="auto"/>
        <w:rPr>
          <w:rFonts w:ascii="Arial" w:hAnsi="Arial" w:cs="Arial"/>
          <w:color w:val="auto"/>
        </w:rPr>
      </w:pPr>
    </w:p>
    <w:p>
      <w:pPr>
        <w:pStyle w:val="12"/>
        <w:keepNext/>
        <w:spacing w:line="240" w:lineRule="auto"/>
        <w:rPr>
          <w:rFonts w:ascii="Arial" w:hAnsi="Arial" w:cs="Arial"/>
          <w:b/>
          <w:i/>
          <w:iCs/>
          <w:color w:val="auto"/>
        </w:rPr>
      </w:pPr>
      <w:r>
        <w:rPr>
          <w:rFonts w:ascii="Arial" w:hAnsi="Arial" w:eastAsia="宋体" w:cs="Arial"/>
          <w:b/>
          <w:i/>
          <w:iCs/>
          <w:color w:val="auto"/>
        </w:rPr>
        <w:t xml:space="preserve">D. </w:t>
      </w:r>
      <w:r>
        <w:rPr>
          <w:rFonts w:hint="eastAsia" w:ascii="Arial" w:hAnsi="Arial" w:cs="Arial"/>
          <w:b/>
          <w:i/>
          <w:iCs/>
          <w:color w:val="auto"/>
        </w:rPr>
        <w:t>權證</w:t>
      </w:r>
    </w:p>
    <w:p>
      <w:pPr>
        <w:pStyle w:val="12"/>
        <w:keepNext/>
        <w:spacing w:line="240" w:lineRule="auto"/>
        <w:rPr>
          <w:rFonts w:ascii="Arial" w:hAnsi="Arial" w:cs="Arial"/>
          <w:color w:val="auto"/>
        </w:rPr>
      </w:pPr>
    </w:p>
    <w:tbl>
      <w:tblPr>
        <w:tblStyle w:val="5"/>
        <w:tblW w:w="9129" w:type="dxa"/>
        <w:tblInd w:w="0" w:type="dxa"/>
        <w:tblLayout w:type="fixed"/>
        <w:tblCellMar>
          <w:top w:w="0" w:type="dxa"/>
          <w:left w:w="28" w:type="dxa"/>
          <w:bottom w:w="0" w:type="dxa"/>
          <w:right w:w="28" w:type="dxa"/>
        </w:tblCellMar>
      </w:tblPr>
      <w:tblGrid>
        <w:gridCol w:w="3119"/>
        <w:gridCol w:w="6010"/>
      </w:tblGrid>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eastAsia="宋体" w:cs="Arial"/>
                <w:color w:val="auto"/>
                <w:lang w:val="en-US" w:eastAsia="zh-CN"/>
              </w:rPr>
              <w:t>證券</w:t>
            </w:r>
            <w:r>
              <w:rPr>
                <w:rFonts w:hint="eastAsia" w:ascii="Arial" w:hAnsi="Arial" w:cs="Arial"/>
                <w:color w:val="auto"/>
              </w:rPr>
              <w:t>代码</w:t>
            </w:r>
            <w:r>
              <w:rPr>
                <w:rFonts w:hint="eastAsia" w:ascii="Arial" w:hAnsi="Arial" w:eastAsia="宋体" w:cs="Arial"/>
                <w:color w:val="auto"/>
                <w:lang w:eastAsia="zh-CN"/>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hint="default" w:ascii="Arial" w:hAnsi="Arial" w:eastAsia="宋体" w:cs="Arial"/>
                <w:color w:val="0000FF"/>
                <w:lang w:val="en-US" w:eastAsia="zh-CN"/>
              </w:rPr>
            </w:pPr>
            <w:r>
              <w:rPr>
                <w:rFonts w:hint="eastAsia" w:ascii="Arial" w:hAnsi="Arial" w:eastAsia="宋体" w:cs="Arial"/>
                <w:color w:val="0000FF"/>
                <w:lang w:val="en-US" w:eastAsia="zh-CN"/>
              </w:rPr>
              <w:t>不適用</w:t>
            </w: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cs="Arial"/>
                <w:color w:val="auto"/>
              </w:rPr>
              <w:t>每手買賣單位</w:t>
            </w:r>
            <w:r>
              <w:rPr>
                <w:rFonts w:hint="eastAsia" w:ascii="Arial" w:hAnsi="Arial" w:eastAsia="宋体" w:cs="Arial"/>
                <w:color w:val="auto"/>
                <w:lang w:eastAsia="zh-CN"/>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不適用</w:t>
            </w: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Height w:val="90" w:hRule="atLeast"/>
        </w:trPr>
        <w:tc>
          <w:tcPr>
            <w:tcW w:w="3119"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eastAsia="宋体" w:cs="Arial"/>
                <w:color w:val="auto"/>
                <w:lang w:val="en-US" w:eastAsia="zh-CN"/>
              </w:rPr>
              <w:t>届滿日</w:t>
            </w:r>
            <w:r>
              <w:rPr>
                <w:rFonts w:hint="eastAsia" w:ascii="Arial" w:hAnsi="Arial" w:eastAsia="宋体" w:cs="Arial"/>
                <w:color w:val="auto"/>
                <w:lang w:eastAsia="zh-CN"/>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不適用</w:t>
            </w: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hint="eastAsia" w:ascii="Arial" w:hAnsi="Arial" w:eastAsia="宋体" w:cs="Arial"/>
                <w:color w:val="auto"/>
                <w:lang w:eastAsia="zh-CN"/>
              </w:rPr>
            </w:pPr>
            <w:r>
              <w:rPr>
                <w:rFonts w:hint="eastAsia" w:ascii="Arial" w:hAnsi="Arial" w:cs="Arial"/>
                <w:color w:val="auto"/>
              </w:rPr>
              <w:t>行使價</w:t>
            </w:r>
            <w:r>
              <w:rPr>
                <w:rFonts w:hint="eastAsia" w:ascii="Arial" w:hAnsi="Arial" w:eastAsia="宋体" w:cs="Arial"/>
                <w:color w:val="auto"/>
                <w:lang w:eastAsia="zh-CN"/>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不適用</w:t>
            </w: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r>
              <w:rPr>
                <w:rFonts w:hint="eastAsia" w:ascii="Arial" w:hAnsi="Arial" w:cs="Arial"/>
                <w:color w:val="auto"/>
              </w:rPr>
              <w:t>換股比率</w:t>
            </w:r>
            <w:r>
              <w:rPr>
                <w:rFonts w:hint="eastAsia" w:ascii="Arial" w:hAnsi="Arial" w:eastAsia="宋体" w:cs="Arial"/>
                <w:color w:val="auto"/>
                <w:lang w:eastAsia="zh-CN"/>
              </w:rPr>
              <w:t>：</w:t>
            </w:r>
            <w:r>
              <w:rPr>
                <w:rFonts w:hint="eastAsia" w:ascii="Arial" w:hAnsi="Arial" w:cs="Arial"/>
                <w:color w:val="auto"/>
              </w:rPr>
              <w:t xml:space="preserve"> (倘權證以換股權的幣值計算則不適用)</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不適用</w:t>
            </w: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r>
              <w:rPr>
                <w:rFonts w:hint="eastAsia" w:ascii="Arial" w:hAnsi="Arial" w:cs="Arial"/>
                <w:color w:val="auto"/>
              </w:rPr>
              <w:t>尚未行使的權證數目：</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不適用</w:t>
            </w: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Arial" w:hAnsi="Arial" w:cs="Arial"/>
                <w:color w:val="auto"/>
              </w:rPr>
            </w:pPr>
          </w:p>
        </w:tc>
        <w:tc>
          <w:tcPr>
            <w:tcW w:w="6010" w:type="dxa"/>
          </w:tcPr>
          <w:p>
            <w:pPr>
              <w:pStyle w:val="12"/>
              <w:tabs>
                <w:tab w:val="clear" w:pos="567"/>
                <w:tab w:val="clear" w:pos="1134"/>
                <w:tab w:val="clear" w:pos="1701"/>
                <w:tab w:val="clear" w:pos="2268"/>
              </w:tabs>
              <w:spacing w:line="240" w:lineRule="auto"/>
              <w:rPr>
                <w:rFonts w:ascii="Arial" w:hAnsi="Arial" w:cs="Arial"/>
                <w:color w:val="0000FF"/>
              </w:rPr>
            </w:pPr>
          </w:p>
        </w:tc>
      </w:tr>
      <w:tr>
        <w:tblPrEx>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hint="eastAsia" w:ascii="Arial" w:hAnsi="Arial" w:cs="Arial"/>
                <w:color w:val="auto"/>
              </w:rPr>
            </w:pPr>
            <w:r>
              <w:rPr>
                <w:rFonts w:hint="eastAsia" w:ascii="Arial" w:hAnsi="Arial" w:cs="Arial"/>
                <w:color w:val="auto"/>
              </w:rPr>
              <w:t>因尚未行使的權證</w:t>
            </w:r>
          </w:p>
          <w:p>
            <w:pPr>
              <w:pStyle w:val="12"/>
              <w:tabs>
                <w:tab w:val="clear" w:pos="567"/>
                <w:tab w:val="clear" w:pos="1134"/>
                <w:tab w:val="clear" w:pos="1701"/>
                <w:tab w:val="clear" w:pos="2268"/>
              </w:tabs>
              <w:spacing w:line="240" w:lineRule="auto"/>
              <w:jc w:val="left"/>
              <w:rPr>
                <w:rFonts w:ascii="Arial" w:hAnsi="Arial" w:cs="Arial"/>
                <w:color w:val="auto"/>
              </w:rPr>
            </w:pPr>
            <w:r>
              <w:rPr>
                <w:rFonts w:hint="eastAsia" w:ascii="Arial" w:hAnsi="Arial" w:cs="Arial"/>
                <w:color w:val="auto"/>
              </w:rPr>
              <w:t>獲行使而須予發行的股份數目：</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Arial" w:hAnsi="Arial" w:cs="Arial"/>
                <w:color w:val="0000FF"/>
              </w:rPr>
            </w:pPr>
            <w:r>
              <w:rPr>
                <w:rFonts w:hint="eastAsia" w:ascii="Arial" w:hAnsi="Arial" w:eastAsia="宋体" w:cs="Arial"/>
                <w:color w:val="0000FF"/>
                <w:lang w:val="en-US" w:eastAsia="zh-CN"/>
              </w:rPr>
              <w:t>不適用</w:t>
            </w:r>
          </w:p>
        </w:tc>
      </w:tr>
    </w:tbl>
    <w:p>
      <w:pPr>
        <w:pStyle w:val="12"/>
        <w:spacing w:line="240" w:lineRule="auto"/>
        <w:rPr>
          <w:rFonts w:ascii="Arial" w:hAnsi="Arial" w:cs="Arial"/>
          <w:i/>
          <w:iCs/>
          <w:color w:val="auto"/>
        </w:rPr>
      </w:pPr>
    </w:p>
    <w:p>
      <w:pPr>
        <w:pStyle w:val="12"/>
        <w:keepNext/>
        <w:spacing w:line="240" w:lineRule="auto"/>
        <w:rPr>
          <w:rFonts w:ascii="Arial" w:hAnsi="Arial" w:cs="Arial"/>
          <w:b/>
          <w:i/>
          <w:iCs/>
          <w:color w:val="auto"/>
        </w:rPr>
      </w:pPr>
      <w:r>
        <w:rPr>
          <w:rFonts w:ascii="Arial" w:hAnsi="Arial" w:eastAsia="宋体" w:cs="Arial"/>
          <w:b/>
          <w:i/>
          <w:iCs/>
          <w:color w:val="auto"/>
        </w:rPr>
        <w:t xml:space="preserve">E. </w:t>
      </w:r>
      <w:r>
        <w:rPr>
          <w:rFonts w:hint="eastAsia" w:ascii="Arial" w:hAnsi="Arial" w:cs="Arial"/>
          <w:b/>
          <w:i/>
          <w:iCs/>
          <w:color w:val="auto"/>
        </w:rPr>
        <w:t>其他证券</w:t>
      </w:r>
    </w:p>
    <w:p>
      <w:pPr>
        <w:pStyle w:val="12"/>
        <w:keepNext/>
        <w:spacing w:line="240" w:lineRule="auto"/>
        <w:rPr>
          <w:rFonts w:ascii="Arial" w:hAnsi="Arial" w:cs="Arial"/>
          <w:color w:val="auto"/>
        </w:rPr>
      </w:pPr>
    </w:p>
    <w:p>
      <w:pPr>
        <w:pStyle w:val="12"/>
        <w:spacing w:line="240" w:lineRule="auto"/>
        <w:rPr>
          <w:rFonts w:hint="eastAsia" w:ascii="Arial" w:hAnsi="Arial" w:cs="Arial"/>
          <w:color w:val="auto"/>
        </w:rPr>
      </w:pPr>
      <w:r>
        <w:rPr>
          <w:rFonts w:hint="eastAsia" w:ascii="Arial" w:hAnsi="Arial" w:cs="Arial"/>
          <w:color w:val="auto"/>
        </w:rPr>
        <w:t>任何已發行的其他證券的詳情。</w:t>
      </w:r>
    </w:p>
    <w:p>
      <w:pPr>
        <w:pStyle w:val="12"/>
        <w:spacing w:line="240" w:lineRule="auto"/>
        <w:rPr>
          <w:rFonts w:ascii="Arial" w:hAnsi="Arial" w:cs="Arial"/>
          <w:color w:val="auto"/>
        </w:rPr>
      </w:pPr>
      <w:r>
        <w:rPr>
          <w:rFonts w:hint="eastAsia" w:ascii="Arial" w:hAnsi="Arial" w:cs="Arial"/>
          <w:i/>
          <w:color w:val="auto"/>
        </w:rPr>
        <w:t>（即上述C所述的普通股和上述D所述的</w:t>
      </w:r>
      <w:r>
        <w:rPr>
          <w:rFonts w:hint="eastAsia" w:ascii="Arial" w:hAnsi="Arial" w:eastAsia="宋体" w:cs="Arial"/>
          <w:i/>
          <w:color w:val="auto"/>
          <w:lang w:val="en-US" w:eastAsia="zh-CN"/>
        </w:rPr>
        <w:t>權證</w:t>
      </w:r>
      <w:r>
        <w:rPr>
          <w:rFonts w:hint="eastAsia" w:ascii="Arial" w:hAnsi="Arial" w:cs="Arial"/>
          <w:i/>
          <w:color w:val="auto"/>
        </w:rPr>
        <w:t>外，但包括授予行政人員及/或僱員的期權）</w:t>
      </w:r>
    </w:p>
    <w:p>
      <w:pPr>
        <w:pStyle w:val="12"/>
        <w:spacing w:line="240" w:lineRule="auto"/>
        <w:rPr>
          <w:rFonts w:ascii="Arial" w:hAnsi="Arial" w:cs="Arial"/>
          <w:color w:val="auto"/>
        </w:rPr>
      </w:pPr>
      <w:r>
        <w:rPr>
          <w:rFonts w:hint="eastAsia" w:ascii="Arial" w:hAnsi="Arial" w:cs="Arial"/>
          <w:i/>
          <w:color w:val="auto"/>
        </w:rPr>
        <w:t>(如屬在創業板或主機板上市證券，請註明證券代號或任何其他證券交易所（該普通股份於其）上市的名稱）。</w:t>
      </w:r>
    </w:p>
    <w:p>
      <w:pPr>
        <w:pStyle w:val="12"/>
        <w:keepNext/>
        <w:spacing w:line="240" w:lineRule="auto"/>
        <w:rPr>
          <w:rFonts w:ascii="Arial" w:hAnsi="Arial" w:cs="Arial"/>
          <w:color w:val="auto"/>
        </w:rPr>
      </w:pPr>
      <w:r>
        <w:rPr>
          <w:rFonts w:hint="eastAsia" w:ascii="Arial" w:hAnsi="Arial" w:cs="Arial"/>
          <w:color w:val="auto"/>
        </w:rPr>
        <w:t>如有任何已發行的債務證券獲擔保，請填寫擔保人的名稱。</w:t>
      </w:r>
    </w:p>
    <w:tbl>
      <w:tblPr>
        <w:tblStyle w:val="5"/>
        <w:tblW w:w="0" w:type="auto"/>
        <w:tblInd w:w="0" w:type="dxa"/>
        <w:tblBorders>
          <w:top w:val="none" w:color="auto" w:sz="0"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127"/>
      </w:tblGrid>
      <w:tr>
        <w:tblPrEx>
          <w:tblBorders>
            <w:top w:val="none" w:color="auto" w:sz="0" w:space="0"/>
            <w:left w:val="none" w:color="auto" w:sz="0" w:space="0"/>
            <w:bottom w:val="dotted" w:color="auto" w:sz="4" w:space="0"/>
            <w:right w:val="none" w:color="auto" w:sz="0" w:space="0"/>
            <w:insideH w:val="none" w:color="auto" w:sz="0" w:space="0"/>
            <w:insideV w:val="none" w:color="auto" w:sz="0" w:space="0"/>
          </w:tblBorders>
          <w:tblCellMar>
            <w:top w:w="0" w:type="dxa"/>
            <w:left w:w="28" w:type="dxa"/>
            <w:bottom w:w="0" w:type="dxa"/>
            <w:right w:w="28" w:type="dxa"/>
          </w:tblCellMar>
        </w:tblPrEx>
        <w:tc>
          <w:tcPr>
            <w:tcW w:w="9127" w:type="dxa"/>
          </w:tcPr>
          <w:p>
            <w:pPr>
              <w:pStyle w:val="12"/>
              <w:spacing w:line="240" w:lineRule="auto"/>
              <w:rPr>
                <w:rFonts w:hint="eastAsia" w:ascii="Arial" w:hAnsi="Arial" w:eastAsia="宋体" w:cs="Arial"/>
                <w:color w:val="0000FF"/>
                <w:lang w:eastAsia="zh-CN"/>
              </w:rPr>
            </w:pPr>
            <w:r>
              <w:rPr>
                <w:rFonts w:hint="eastAsia" w:ascii="Arial" w:hAnsi="Arial" w:cs="Arial"/>
                <w:color w:val="0000FF"/>
              </w:rPr>
              <w:t>(1)在2003年5月23日的購股權計劃下授出 72,000 購股權(200</w:t>
            </w:r>
            <w:r>
              <w:rPr>
                <w:rFonts w:hint="eastAsia" w:ascii="Arial" w:hAnsi="Arial" w:eastAsia="宋体" w:cs="Arial"/>
                <w:color w:val="0000FF"/>
                <w:lang w:val="en-US" w:eastAsia="zh-CN"/>
              </w:rPr>
              <w:t>5</w:t>
            </w:r>
            <w:r>
              <w:rPr>
                <w:rFonts w:hint="eastAsia" w:ascii="Arial" w:hAnsi="Arial" w:cs="Arial"/>
                <w:color w:val="0000FF"/>
              </w:rPr>
              <w:t>年12月1 日授出</w:t>
            </w:r>
            <w:r>
              <w:rPr>
                <w:rFonts w:hint="eastAsia" w:ascii="Arial" w:hAnsi="Arial" w:eastAsia="宋体" w:cs="Arial"/>
                <w:color w:val="0000FF"/>
                <w:lang w:eastAsia="zh-CN"/>
              </w:rPr>
              <w:t>，</w:t>
            </w:r>
            <w:r>
              <w:rPr>
                <w:rFonts w:hint="eastAsia" w:ascii="Arial" w:hAnsi="Arial" w:cs="Arial"/>
                <w:color w:val="0000FF"/>
              </w:rPr>
              <w:t>行使價為每股 0.45港幣</w:t>
            </w:r>
            <w:r>
              <w:rPr>
                <w:rFonts w:hint="eastAsia" w:ascii="Arial" w:hAnsi="Arial" w:eastAsia="宋体" w:cs="Arial"/>
                <w:color w:val="0000FF"/>
                <w:lang w:eastAsia="zh-CN"/>
              </w:rPr>
              <w:t>；</w:t>
            </w:r>
          </w:p>
          <w:p>
            <w:pPr>
              <w:pStyle w:val="12"/>
              <w:spacing w:line="240" w:lineRule="auto"/>
              <w:rPr>
                <w:rFonts w:hint="eastAsia" w:ascii="Arial" w:hAnsi="Arial" w:cs="Arial"/>
                <w:color w:val="0000FF"/>
              </w:rPr>
            </w:pPr>
            <w:r>
              <w:rPr>
                <w:rFonts w:hint="eastAsia" w:ascii="Arial" w:hAnsi="Arial" w:cs="Arial"/>
                <w:color w:val="0000FF"/>
              </w:rPr>
              <w:t>(2)在2003年5月23日的購股權計劃下授出1,018,800購股權(2006年8月10日授出</w:t>
            </w:r>
            <w:r>
              <w:rPr>
                <w:rFonts w:hint="eastAsia" w:ascii="Arial" w:hAnsi="Arial" w:eastAsia="宋体" w:cs="Arial"/>
                <w:color w:val="0000FF"/>
                <w:lang w:eastAsia="zh-CN"/>
              </w:rPr>
              <w:t>，</w:t>
            </w:r>
            <w:r>
              <w:rPr>
                <w:rFonts w:hint="eastAsia" w:ascii="Arial" w:hAnsi="Arial" w:cs="Arial"/>
                <w:color w:val="0000FF"/>
              </w:rPr>
              <w:t>行使價為每股</w:t>
            </w:r>
          </w:p>
          <w:p>
            <w:pPr>
              <w:pStyle w:val="12"/>
              <w:spacing w:line="240" w:lineRule="auto"/>
              <w:rPr>
                <w:rFonts w:hint="eastAsia" w:ascii="Arial" w:hAnsi="Arial" w:cs="Arial"/>
                <w:color w:val="0000FF"/>
              </w:rPr>
            </w:pPr>
            <w:r>
              <w:rPr>
                <w:rFonts w:hint="eastAsia" w:ascii="Arial" w:hAnsi="Arial" w:cs="Arial"/>
                <w:color w:val="0000FF"/>
              </w:rPr>
              <w:t>0.36港幣</w:t>
            </w:r>
            <w:r>
              <w:rPr>
                <w:rFonts w:hint="eastAsia" w:ascii="Arial" w:hAnsi="Arial" w:eastAsia="宋体" w:cs="Arial"/>
                <w:color w:val="0000FF"/>
                <w:lang w:eastAsia="zh-CN"/>
              </w:rPr>
              <w:t>；</w:t>
            </w:r>
            <w:r>
              <w:rPr>
                <w:rFonts w:hint="eastAsia" w:ascii="Arial" w:hAnsi="Arial" w:cs="Arial"/>
                <w:color w:val="0000FF"/>
              </w:rPr>
              <w:t> </w:t>
            </w:r>
          </w:p>
          <w:p>
            <w:pPr>
              <w:pStyle w:val="12"/>
              <w:spacing w:line="240" w:lineRule="auto"/>
              <w:rPr>
                <w:rFonts w:hint="eastAsia" w:ascii="Arial" w:hAnsi="Arial" w:eastAsia="宋体" w:cs="Arial"/>
                <w:color w:val="0000FF"/>
                <w:lang w:eastAsia="zh-CN"/>
              </w:rPr>
            </w:pPr>
            <w:r>
              <w:rPr>
                <w:rFonts w:hint="eastAsia" w:ascii="Arial" w:hAnsi="Arial" w:cs="Arial"/>
                <w:color w:val="0000FF"/>
              </w:rPr>
              <w:t>(3)在2003年5月23日的購股權計劃下授出 2,058,100購股權(2007年5月10日授出</w:t>
            </w:r>
            <w:r>
              <w:rPr>
                <w:rFonts w:hint="eastAsia" w:ascii="Arial" w:hAnsi="Arial" w:eastAsia="宋体" w:cs="Arial"/>
                <w:color w:val="0000FF"/>
                <w:lang w:eastAsia="zh-CN"/>
              </w:rPr>
              <w:t>，</w:t>
            </w:r>
            <w:r>
              <w:rPr>
                <w:rFonts w:hint="eastAsia" w:ascii="Arial" w:hAnsi="Arial" w:cs="Arial"/>
                <w:color w:val="0000FF"/>
              </w:rPr>
              <w:t>行使價為每股0.625 港幣</w:t>
            </w:r>
            <w:r>
              <w:rPr>
                <w:rFonts w:hint="eastAsia" w:ascii="Arial" w:hAnsi="Arial" w:eastAsia="宋体" w:cs="Arial"/>
                <w:color w:val="0000FF"/>
                <w:lang w:eastAsia="zh-CN"/>
              </w:rPr>
              <w:t>；</w:t>
            </w:r>
          </w:p>
          <w:p>
            <w:pPr>
              <w:pStyle w:val="12"/>
              <w:spacing w:line="240" w:lineRule="auto"/>
              <w:rPr>
                <w:rFonts w:hint="eastAsia" w:ascii="Arial" w:hAnsi="Arial" w:cs="Arial"/>
                <w:color w:val="0000FF"/>
              </w:rPr>
            </w:pPr>
            <w:r>
              <w:rPr>
                <w:rFonts w:hint="eastAsia" w:ascii="Arial" w:hAnsi="Arial" w:cs="Arial"/>
                <w:color w:val="0000FF"/>
              </w:rPr>
              <w:t>(4)在2003年5月23日的購股權計劃下授出5,392,800購股權(2009年4月7日授出</w:t>
            </w:r>
            <w:r>
              <w:rPr>
                <w:rFonts w:hint="eastAsia" w:ascii="Arial" w:hAnsi="Arial" w:eastAsia="宋体" w:cs="Arial"/>
                <w:color w:val="0000FF"/>
                <w:lang w:eastAsia="zh-CN"/>
              </w:rPr>
              <w:t>，</w:t>
            </w:r>
            <w:r>
              <w:rPr>
                <w:rFonts w:hint="eastAsia" w:ascii="Arial" w:hAnsi="Arial" w:cs="Arial"/>
                <w:color w:val="0000FF"/>
              </w:rPr>
              <w:t>行使價為每股</w:t>
            </w:r>
          </w:p>
          <w:p>
            <w:pPr>
              <w:pStyle w:val="12"/>
              <w:spacing w:line="240" w:lineRule="auto"/>
              <w:rPr>
                <w:rFonts w:hint="eastAsia" w:ascii="Arial" w:hAnsi="Arial" w:eastAsia="宋体" w:cs="Arial"/>
                <w:color w:val="0000FF"/>
                <w:lang w:eastAsia="zh-CN"/>
              </w:rPr>
            </w:pPr>
            <w:r>
              <w:rPr>
                <w:rFonts w:hint="eastAsia" w:ascii="Arial" w:hAnsi="Arial" w:cs="Arial"/>
                <w:color w:val="0000FF"/>
              </w:rPr>
              <w:t>0.435港幣</w:t>
            </w:r>
            <w:r>
              <w:rPr>
                <w:rFonts w:hint="eastAsia" w:ascii="Arial" w:hAnsi="Arial" w:eastAsia="宋体" w:cs="Arial"/>
                <w:color w:val="0000FF"/>
                <w:lang w:eastAsia="zh-CN"/>
              </w:rPr>
              <w:t>；</w:t>
            </w:r>
          </w:p>
          <w:p>
            <w:pPr>
              <w:pStyle w:val="12"/>
              <w:spacing w:line="240" w:lineRule="auto"/>
              <w:rPr>
                <w:rFonts w:hint="eastAsia" w:ascii="Arial" w:hAnsi="Arial" w:eastAsia="宋体" w:cs="Arial"/>
                <w:color w:val="0000FF"/>
                <w:lang w:eastAsia="zh-CN"/>
              </w:rPr>
            </w:pPr>
            <w:r>
              <w:rPr>
                <w:rFonts w:hint="eastAsia" w:ascii="Arial" w:hAnsi="Arial" w:cs="Arial"/>
                <w:color w:val="0000FF"/>
              </w:rPr>
              <w:t>(5)在2003年5月23日的購股權計劃下授出24,290,000購股權(2015年6月30日授出，行使價為每股0.45港幣</w:t>
            </w:r>
            <w:r>
              <w:rPr>
                <w:rFonts w:hint="eastAsia" w:ascii="Arial" w:hAnsi="Arial" w:eastAsia="宋体" w:cs="Arial"/>
                <w:color w:val="0000FF"/>
                <w:lang w:eastAsia="zh-CN"/>
              </w:rPr>
              <w:t>；</w:t>
            </w:r>
          </w:p>
          <w:p>
            <w:pPr>
              <w:pStyle w:val="12"/>
              <w:spacing w:line="240" w:lineRule="auto"/>
              <w:rPr>
                <w:rFonts w:hint="eastAsia" w:ascii="Arial" w:hAnsi="Arial" w:eastAsia="宋体" w:cs="Arial"/>
                <w:color w:val="0000FF"/>
                <w:lang w:eastAsia="zh-CN"/>
              </w:rPr>
            </w:pPr>
            <w:r>
              <w:rPr>
                <w:rFonts w:hint="eastAsia" w:ascii="Arial" w:hAnsi="Arial" w:cs="Arial"/>
                <w:color w:val="0000FF"/>
              </w:rPr>
              <w:t>(6)在2014年12月24日， Winsland Agent Limited 發行1,000,000美元可轉換債券，其最多可轉換為77,500,000股股票（認購價格為0.1港幣每股，協議匯率為1.00美元=7.75港幣</w:t>
            </w:r>
            <w:r>
              <w:rPr>
                <w:rFonts w:hint="eastAsia" w:ascii="Arial" w:hAnsi="Arial" w:eastAsia="宋体" w:cs="Arial"/>
                <w:color w:val="0000FF"/>
                <w:lang w:eastAsia="zh-CN"/>
              </w:rPr>
              <w:t>；</w:t>
            </w:r>
          </w:p>
          <w:p>
            <w:pPr>
              <w:pStyle w:val="12"/>
              <w:spacing w:line="240" w:lineRule="auto"/>
              <w:rPr>
                <w:rFonts w:hint="eastAsia" w:ascii="Arial" w:hAnsi="Arial" w:eastAsia="宋体" w:cs="Arial"/>
                <w:color w:val="0000FF"/>
                <w:lang w:val="en-US" w:eastAsia="zh-CN"/>
              </w:rPr>
            </w:pPr>
            <w:r>
              <w:rPr>
                <w:rFonts w:hint="eastAsia" w:ascii="Arial" w:hAnsi="Arial" w:cs="Arial"/>
                <w:color w:val="0000FF"/>
              </w:rPr>
              <w:t>(7)在2015年6月30日的購股權計劃下授出)14,650,000購股權(2021年3月24日授出，行使價為每股0.504港幣</w:t>
            </w:r>
            <w:r>
              <w:rPr>
                <w:rFonts w:hint="eastAsia" w:ascii="Arial" w:hAnsi="Arial" w:eastAsia="宋体" w:cs="Arial"/>
                <w:color w:val="0000FF"/>
                <w:lang w:eastAsia="zh-CN"/>
              </w:rPr>
              <w:t>。</w:t>
            </w:r>
          </w:p>
        </w:tc>
      </w:tr>
    </w:tbl>
    <w:p>
      <w:pPr>
        <w:pStyle w:val="12"/>
        <w:spacing w:line="240" w:lineRule="auto"/>
        <w:rPr>
          <w:rFonts w:ascii="Arial" w:hAnsi="Arial" w:cs="Arial"/>
          <w:b/>
          <w:color w:val="auto"/>
        </w:rPr>
      </w:pPr>
    </w:p>
    <w:p>
      <w:pPr>
        <w:pStyle w:val="12"/>
        <w:keepNext/>
        <w:spacing w:line="240" w:lineRule="auto"/>
        <w:rPr>
          <w:rFonts w:ascii="Arial" w:hAnsi="Arial" w:cs="Arial"/>
          <w:color w:val="auto"/>
        </w:rPr>
      </w:pPr>
      <w:r>
        <w:rPr>
          <w:rFonts w:hint="eastAsia" w:ascii="Arial" w:hAnsi="Arial" w:cs="Arial"/>
          <w:b/>
          <w:color w:val="auto"/>
        </w:rPr>
        <w:t>責任聲明</w:t>
      </w:r>
    </w:p>
    <w:p>
      <w:pPr>
        <w:pStyle w:val="12"/>
        <w:spacing w:line="240" w:lineRule="auto"/>
        <w:rPr>
          <w:rFonts w:hint="eastAsia" w:ascii="Arial" w:hAnsi="Arial" w:cs="Arial"/>
          <w:color w:val="auto"/>
        </w:rPr>
      </w:pPr>
      <w:r>
        <w:rPr>
          <w:rFonts w:hint="eastAsia" w:ascii="Arial" w:hAnsi="Arial" w:cs="Arial"/>
          <w:color w:val="auto"/>
        </w:rPr>
        <w:t>公司於本聲明日期的在任董事（「董事」）謹表示共同及個別對資料報表所載資料（「該等資料 ）的準確性承擔全部責任，並在作出一切合理查詢後，確認就其所知及所信，該等資料在所有重大方面乃屬真確、完整、及並無誤導或欺詐成份，亦概無遺漏其他事實，致使該等資料有失實或誤導成份。</w:t>
      </w:r>
    </w:p>
    <w:p>
      <w:pPr>
        <w:pStyle w:val="12"/>
        <w:spacing w:line="240" w:lineRule="auto"/>
        <w:rPr>
          <w:rFonts w:ascii="Arial" w:hAnsi="Arial" w:cs="Arial"/>
          <w:color w:val="auto"/>
        </w:rPr>
      </w:pPr>
      <w:r>
        <w:rPr>
          <w:rFonts w:hint="eastAsia" w:ascii="Arial" w:hAnsi="Arial" w:cs="Arial"/>
          <w:color w:val="auto"/>
        </w:rPr>
        <w:t>董事亦共同及個別承擔全部責任，於之前刊發的表格內所載的任何詳情不再準確後於合理而切實可行的情況下盡快提交經修訂的資料報表。</w:t>
      </w:r>
    </w:p>
    <w:p>
      <w:pPr>
        <w:pStyle w:val="12"/>
        <w:spacing w:line="240" w:lineRule="auto"/>
        <w:rPr>
          <w:rFonts w:ascii="Arial" w:hAnsi="Arial" w:cs="Arial"/>
          <w:color w:val="auto"/>
        </w:rPr>
      </w:pPr>
      <w:r>
        <w:rPr>
          <w:rFonts w:hint="eastAsia" w:ascii="Arial" w:hAnsi="Arial" w:cs="Arial"/>
          <w:color w:val="auto"/>
        </w:rPr>
        <w:t>董事確認本交易所對該等資料概無任何責任，並承諾彌償本交易所因為或由於該等資料而承擔的一切責任或蒙受的一切損失。</w:t>
      </w:r>
    </w:p>
    <w:tbl>
      <w:tblPr>
        <w:tblStyle w:val="5"/>
        <w:tblW w:w="9148" w:type="dxa"/>
        <w:tblInd w:w="0" w:type="dxa"/>
        <w:tblLayout w:type="fixed"/>
        <w:tblCellMar>
          <w:top w:w="0" w:type="dxa"/>
          <w:left w:w="28" w:type="dxa"/>
          <w:bottom w:w="0" w:type="dxa"/>
          <w:right w:w="28" w:type="dxa"/>
        </w:tblCellMar>
      </w:tblPr>
      <w:tblGrid>
        <w:gridCol w:w="3402"/>
        <w:gridCol w:w="851"/>
        <w:gridCol w:w="3335"/>
        <w:gridCol w:w="1560"/>
      </w:tblGrid>
      <w:tr>
        <w:tblPrEx>
          <w:tblCellMar>
            <w:top w:w="0" w:type="dxa"/>
            <w:left w:w="28" w:type="dxa"/>
            <w:bottom w:w="0" w:type="dxa"/>
            <w:right w:w="28" w:type="dxa"/>
          </w:tblCellMar>
        </w:tblPrEx>
        <w:tc>
          <w:tcPr>
            <w:tcW w:w="3402" w:type="dxa"/>
          </w:tcPr>
          <w:p>
            <w:pPr>
              <w:rPr>
                <w:rFonts w:ascii="Arial" w:hAnsi="Arial" w:cs="Arial"/>
                <w:color w:val="0000FF"/>
                <w:sz w:val="20"/>
              </w:rPr>
            </w:pPr>
          </w:p>
        </w:tc>
        <w:tc>
          <w:tcPr>
            <w:tcW w:w="851" w:type="dxa"/>
          </w:tcPr>
          <w:p>
            <w:pPr>
              <w:pStyle w:val="12"/>
              <w:keepNext/>
              <w:spacing w:line="240" w:lineRule="auto"/>
              <w:rPr>
                <w:rFonts w:ascii="Arial" w:hAnsi="Arial" w:cs="Arial"/>
                <w:color w:val="0000FF"/>
              </w:rPr>
            </w:pPr>
          </w:p>
        </w:tc>
        <w:tc>
          <w:tcPr>
            <w:tcW w:w="3335" w:type="dxa"/>
          </w:tcPr>
          <w:p>
            <w:pPr>
              <w:pStyle w:val="12"/>
              <w:keepNext/>
              <w:spacing w:line="240" w:lineRule="auto"/>
              <w:rPr>
                <w:rFonts w:ascii="Arial" w:hAnsi="Arial" w:cs="Arial"/>
                <w:color w:val="0000FF"/>
              </w:rPr>
            </w:pPr>
          </w:p>
        </w:tc>
        <w:tc>
          <w:tcPr>
            <w:tcW w:w="1560" w:type="dxa"/>
            <w:vAlign w:val="bottom"/>
          </w:tcPr>
          <w:p>
            <w:pPr>
              <w:pStyle w:val="12"/>
              <w:keepNext/>
              <w:spacing w:line="240" w:lineRule="auto"/>
              <w:rPr>
                <w:rFonts w:ascii="Arial" w:hAnsi="Arial" w:cs="Arial"/>
              </w:rPr>
            </w:pPr>
          </w:p>
        </w:tc>
      </w:tr>
      <w:tr>
        <w:tblPrEx>
          <w:tblCellMar>
            <w:top w:w="0" w:type="dxa"/>
            <w:left w:w="28" w:type="dxa"/>
            <w:bottom w:w="0" w:type="dxa"/>
            <w:right w:w="28" w:type="dxa"/>
          </w:tblCellMar>
        </w:tblPrEx>
        <w:tc>
          <w:tcPr>
            <w:tcW w:w="3402" w:type="dxa"/>
          </w:tcPr>
          <w:p>
            <w:pPr>
              <w:pStyle w:val="12"/>
              <w:keepNext/>
              <w:spacing w:line="240" w:lineRule="auto"/>
              <w:rPr>
                <w:rFonts w:ascii="Arial" w:hAnsi="Arial" w:cs="Arial"/>
                <w:color w:val="0000FF"/>
              </w:rPr>
            </w:pPr>
          </w:p>
        </w:tc>
        <w:tc>
          <w:tcPr>
            <w:tcW w:w="851" w:type="dxa"/>
          </w:tcPr>
          <w:p>
            <w:pPr>
              <w:pStyle w:val="12"/>
              <w:keepNext/>
              <w:spacing w:line="240" w:lineRule="auto"/>
              <w:rPr>
                <w:rFonts w:ascii="Arial" w:hAnsi="Arial" w:cs="Arial"/>
                <w:color w:val="0000FF"/>
              </w:rPr>
            </w:pPr>
          </w:p>
        </w:tc>
        <w:tc>
          <w:tcPr>
            <w:tcW w:w="3335" w:type="dxa"/>
          </w:tcPr>
          <w:p>
            <w:pPr>
              <w:pStyle w:val="12"/>
              <w:keepNext/>
              <w:spacing w:line="240" w:lineRule="auto"/>
              <w:rPr>
                <w:rFonts w:ascii="Arial" w:hAnsi="Arial" w:cs="Arial"/>
                <w:color w:val="0000FF"/>
              </w:rPr>
            </w:pPr>
          </w:p>
        </w:tc>
        <w:tc>
          <w:tcPr>
            <w:tcW w:w="1560" w:type="dxa"/>
          </w:tcPr>
          <w:p>
            <w:pPr>
              <w:pStyle w:val="12"/>
              <w:keepNext/>
              <w:spacing w:line="240" w:lineRule="auto"/>
              <w:rPr>
                <w:rFonts w:ascii="Arial" w:hAnsi="Arial" w:cs="Arial"/>
                <w:color w:val="0000FF"/>
              </w:rPr>
            </w:pPr>
          </w:p>
        </w:tc>
      </w:tr>
    </w:tbl>
    <w:p>
      <w:pPr>
        <w:pStyle w:val="12"/>
        <w:spacing w:line="240" w:lineRule="auto"/>
        <w:rPr>
          <w:rFonts w:ascii="Arial" w:hAnsi="Arial" w:cs="Arial"/>
          <w:color w:val="auto"/>
        </w:rPr>
      </w:pPr>
    </w:p>
    <w:tbl>
      <w:tblPr>
        <w:tblStyle w:val="5"/>
        <w:tblW w:w="9148" w:type="dxa"/>
        <w:tblInd w:w="0" w:type="dxa"/>
        <w:tblLayout w:type="fixed"/>
        <w:tblCellMar>
          <w:top w:w="0" w:type="dxa"/>
          <w:left w:w="28" w:type="dxa"/>
          <w:bottom w:w="0" w:type="dxa"/>
          <w:right w:w="28" w:type="dxa"/>
        </w:tblCellMar>
      </w:tblPr>
      <w:tblGrid>
        <w:gridCol w:w="2296"/>
        <w:gridCol w:w="77"/>
        <w:gridCol w:w="5215"/>
        <w:gridCol w:w="1560"/>
      </w:tblGrid>
      <w:tr>
        <w:tblPrEx>
          <w:tblCellMar>
            <w:top w:w="0" w:type="dxa"/>
            <w:left w:w="28" w:type="dxa"/>
            <w:bottom w:w="0" w:type="dxa"/>
            <w:right w:w="28" w:type="dxa"/>
          </w:tblCellMar>
        </w:tblPrEx>
        <w:tc>
          <w:tcPr>
            <w:tcW w:w="2296" w:type="dxa"/>
            <w:vAlign w:val="bottom"/>
          </w:tcPr>
          <w:p>
            <w:pPr>
              <w:pStyle w:val="12"/>
              <w:keepNext/>
              <w:spacing w:line="240" w:lineRule="auto"/>
              <w:rPr>
                <w:rFonts w:ascii="Arial" w:hAnsi="Arial" w:cs="Arial"/>
                <w:color w:val="auto"/>
              </w:rPr>
            </w:pPr>
            <w:r>
              <w:rPr>
                <w:rFonts w:hint="eastAsia" w:ascii="Arial" w:hAnsi="Arial" w:cs="Arial"/>
                <w:color w:val="auto"/>
              </w:rPr>
              <w:t>提交人：</w:t>
            </w:r>
          </w:p>
        </w:tc>
        <w:tc>
          <w:tcPr>
            <w:tcW w:w="77" w:type="dxa"/>
            <w:vAlign w:val="bottom"/>
          </w:tcPr>
          <w:p>
            <w:pPr>
              <w:pStyle w:val="12"/>
              <w:keepNext/>
              <w:spacing w:line="240" w:lineRule="auto"/>
              <w:rPr>
                <w:rFonts w:ascii="Arial" w:hAnsi="Arial" w:cs="Arial"/>
                <w:color w:val="auto"/>
              </w:rPr>
            </w:pPr>
          </w:p>
        </w:tc>
        <w:tc>
          <w:tcPr>
            <w:tcW w:w="5215" w:type="dxa"/>
            <w:tcBorders>
              <w:bottom w:val="dotted" w:color="auto" w:sz="2" w:space="0"/>
            </w:tcBorders>
            <w:vAlign w:val="bottom"/>
          </w:tcPr>
          <w:p>
            <w:pPr>
              <w:pStyle w:val="12"/>
              <w:keepNext/>
              <w:spacing w:line="240" w:lineRule="auto"/>
              <w:rPr>
                <w:rFonts w:hint="default" w:ascii="Arial" w:hAnsi="Arial" w:eastAsia="宋体" w:cs="Arial"/>
                <w:color w:val="auto"/>
                <w:lang w:val="en-US" w:eastAsia="zh-CN"/>
              </w:rPr>
            </w:pPr>
            <w:r>
              <w:rPr>
                <w:rFonts w:hint="eastAsia" w:ascii="Arial" w:hAnsi="Arial" w:eastAsia="宋体" w:cs="Arial"/>
                <w:color w:val="auto"/>
                <w:lang w:val="en-US" w:eastAsia="zh-CN"/>
              </w:rPr>
              <w:t>郭夏</w:t>
            </w:r>
          </w:p>
        </w:tc>
        <w:tc>
          <w:tcPr>
            <w:tcW w:w="1560" w:type="dxa"/>
          </w:tcPr>
          <w:p>
            <w:pPr>
              <w:pStyle w:val="12"/>
              <w:keepNext/>
              <w:spacing w:line="240" w:lineRule="auto"/>
              <w:rPr>
                <w:rFonts w:ascii="Arial" w:hAnsi="Arial" w:cs="Arial"/>
                <w:color w:val="auto"/>
              </w:rPr>
            </w:pPr>
          </w:p>
        </w:tc>
      </w:tr>
    </w:tbl>
    <w:p>
      <w:pPr>
        <w:pStyle w:val="13"/>
        <w:spacing w:line="240" w:lineRule="auto"/>
        <w:jc w:val="left"/>
        <w:rPr>
          <w:rFonts w:ascii="Arial" w:hAnsi="Arial" w:cs="Arial"/>
          <w:i w:val="0"/>
        </w:rPr>
      </w:pPr>
      <w:r>
        <w:rPr>
          <w:rFonts w:ascii="Arial" w:hAnsi="Arial" w:eastAsia="宋体" w:cs="Arial"/>
          <w:i w:val="0"/>
        </w:rPr>
        <w:t xml:space="preserve">                                              (</w:t>
      </w:r>
      <w:r>
        <w:rPr>
          <w:rFonts w:hint="eastAsia" w:ascii="Arial" w:hAnsi="Arial" w:eastAsia="宋体" w:cs="Arial"/>
          <w:i w:val="0"/>
          <w:lang w:val="en-US" w:eastAsia="zh-CN"/>
        </w:rPr>
        <w:t>姓名</w:t>
      </w:r>
      <w:r>
        <w:rPr>
          <w:rFonts w:ascii="Arial" w:hAnsi="Arial" w:eastAsia="宋体" w:cs="Arial"/>
          <w:i w:val="0"/>
        </w:rPr>
        <w:t>)</w:t>
      </w:r>
    </w:p>
    <w:p>
      <w:pPr>
        <w:pStyle w:val="13"/>
        <w:spacing w:line="240" w:lineRule="auto"/>
        <w:jc w:val="left"/>
        <w:rPr>
          <w:rFonts w:ascii="Arial" w:hAnsi="Arial" w:cs="Arial"/>
          <w:i w:val="0"/>
        </w:rPr>
      </w:pPr>
    </w:p>
    <w:tbl>
      <w:tblPr>
        <w:tblStyle w:val="5"/>
        <w:tblW w:w="9148" w:type="dxa"/>
        <w:tblInd w:w="0" w:type="dxa"/>
        <w:tblLayout w:type="fixed"/>
        <w:tblCellMar>
          <w:top w:w="0" w:type="dxa"/>
          <w:left w:w="28" w:type="dxa"/>
          <w:bottom w:w="0" w:type="dxa"/>
          <w:right w:w="28" w:type="dxa"/>
        </w:tblCellMar>
      </w:tblPr>
      <w:tblGrid>
        <w:gridCol w:w="2296"/>
        <w:gridCol w:w="77"/>
        <w:gridCol w:w="5215"/>
        <w:gridCol w:w="1560"/>
      </w:tblGrid>
      <w:tr>
        <w:tblPrEx>
          <w:tblCellMar>
            <w:top w:w="0" w:type="dxa"/>
            <w:left w:w="28" w:type="dxa"/>
            <w:bottom w:w="0" w:type="dxa"/>
            <w:right w:w="28" w:type="dxa"/>
          </w:tblCellMar>
        </w:tblPrEx>
        <w:tc>
          <w:tcPr>
            <w:tcW w:w="2296" w:type="dxa"/>
            <w:vAlign w:val="bottom"/>
          </w:tcPr>
          <w:p>
            <w:pPr>
              <w:pStyle w:val="12"/>
              <w:keepNext/>
              <w:spacing w:line="240" w:lineRule="auto"/>
              <w:rPr>
                <w:rFonts w:hint="eastAsia" w:ascii="Arial" w:hAnsi="Arial" w:eastAsia="宋体" w:cs="Arial"/>
                <w:color w:val="auto"/>
                <w:lang w:eastAsia="zh-CN"/>
              </w:rPr>
            </w:pPr>
            <w:r>
              <w:rPr>
                <w:rFonts w:hint="eastAsia" w:ascii="Arial" w:hAnsi="Arial" w:eastAsia="宋体" w:cs="Arial"/>
                <w:color w:val="auto"/>
                <w:lang w:val="en-US" w:eastAsia="zh-CN"/>
              </w:rPr>
              <w:t>職位</w:t>
            </w:r>
            <w:r>
              <w:rPr>
                <w:rFonts w:hint="eastAsia" w:ascii="Arial" w:hAnsi="Arial" w:eastAsia="宋体" w:cs="Arial"/>
                <w:color w:val="auto"/>
                <w:lang w:eastAsia="zh-CN"/>
              </w:rPr>
              <w:t>：</w:t>
            </w:r>
          </w:p>
        </w:tc>
        <w:tc>
          <w:tcPr>
            <w:tcW w:w="77" w:type="dxa"/>
            <w:vAlign w:val="bottom"/>
          </w:tcPr>
          <w:p>
            <w:pPr>
              <w:pStyle w:val="12"/>
              <w:keepNext/>
              <w:spacing w:line="240" w:lineRule="auto"/>
              <w:rPr>
                <w:rFonts w:ascii="Arial" w:hAnsi="Arial" w:cs="Arial"/>
                <w:color w:val="auto"/>
              </w:rPr>
            </w:pPr>
          </w:p>
        </w:tc>
        <w:tc>
          <w:tcPr>
            <w:tcW w:w="5215" w:type="dxa"/>
            <w:tcBorders>
              <w:bottom w:val="dotted" w:color="auto" w:sz="2" w:space="0"/>
            </w:tcBorders>
            <w:vAlign w:val="bottom"/>
          </w:tcPr>
          <w:p>
            <w:pPr>
              <w:pStyle w:val="12"/>
              <w:keepNext/>
              <w:spacing w:line="240" w:lineRule="auto"/>
              <w:rPr>
                <w:rFonts w:hint="eastAsia" w:ascii="Arial" w:hAnsi="Arial" w:eastAsia="宋体" w:cs="Arial"/>
                <w:color w:val="auto"/>
                <w:lang w:val="en-US" w:eastAsia="zh-CN"/>
              </w:rPr>
            </w:pPr>
            <w:r>
              <w:rPr>
                <w:rFonts w:hint="eastAsia" w:ascii="Arial" w:hAnsi="Arial" w:eastAsia="宋体" w:cs="Arial"/>
                <w:i w:val="0"/>
                <w:lang w:val="en-US" w:eastAsia="zh-CN"/>
              </w:rPr>
              <w:t>董事</w:t>
            </w:r>
          </w:p>
        </w:tc>
        <w:tc>
          <w:tcPr>
            <w:tcW w:w="1560" w:type="dxa"/>
          </w:tcPr>
          <w:p>
            <w:pPr>
              <w:pStyle w:val="12"/>
              <w:keepNext/>
              <w:spacing w:line="240" w:lineRule="auto"/>
              <w:rPr>
                <w:rFonts w:ascii="Arial" w:hAnsi="Arial" w:cs="Arial"/>
                <w:color w:val="auto"/>
              </w:rPr>
            </w:pPr>
          </w:p>
        </w:tc>
      </w:tr>
    </w:tbl>
    <w:p>
      <w:pPr>
        <w:pStyle w:val="13"/>
        <w:spacing w:line="240" w:lineRule="auto"/>
        <w:jc w:val="left"/>
        <w:rPr>
          <w:rFonts w:ascii="Arial" w:hAnsi="Arial" w:cs="Arial"/>
          <w:i w:val="0"/>
        </w:rPr>
      </w:pPr>
      <w:r>
        <w:rPr>
          <w:rFonts w:ascii="Arial" w:hAnsi="Arial" w:eastAsia="宋体" w:cs="Arial"/>
          <w:i w:val="0"/>
        </w:rPr>
        <w:t xml:space="preserve">                                              (</w:t>
      </w:r>
      <w:r>
        <w:rPr>
          <w:rFonts w:hint="eastAsia" w:ascii="Arial" w:hAnsi="Arial" w:cs="Arial"/>
          <w:i w:val="0"/>
        </w:rPr>
        <w:t>董事、秘书或其他经正式授权的高级管理人员</w:t>
      </w:r>
      <w:r>
        <w:rPr>
          <w:rFonts w:ascii="Arial" w:hAnsi="Arial" w:eastAsia="宋体" w:cs="Arial"/>
          <w:i w:val="0"/>
        </w:rPr>
        <w:t>)</w:t>
      </w:r>
    </w:p>
    <w:p>
      <w:pPr>
        <w:pStyle w:val="13"/>
        <w:spacing w:line="240" w:lineRule="auto"/>
        <w:jc w:val="center"/>
        <w:rPr>
          <w:rFonts w:ascii="Arial" w:hAnsi="Arial" w:cs="Arial"/>
          <w:b/>
        </w:rPr>
      </w:pPr>
    </w:p>
    <w:p>
      <w:pPr>
        <w:pStyle w:val="13"/>
        <w:spacing w:line="240" w:lineRule="auto"/>
        <w:jc w:val="center"/>
        <w:rPr>
          <w:rFonts w:ascii="Arial" w:hAnsi="Arial" w:cs="Arial"/>
          <w:b/>
        </w:rPr>
      </w:pPr>
    </w:p>
    <w:p>
      <w:pPr>
        <w:pStyle w:val="13"/>
        <w:spacing w:line="240" w:lineRule="auto"/>
        <w:jc w:val="center"/>
        <w:rPr>
          <w:rFonts w:ascii="Arial" w:hAnsi="Arial" w:cs="Arial"/>
          <w:b/>
        </w:rPr>
      </w:pPr>
      <w:r>
        <w:rPr>
          <w:rFonts w:hint="eastAsia" w:ascii="Arial" w:hAnsi="Arial" w:eastAsia="宋体" w:cs="Arial"/>
          <w:b/>
          <w:lang w:val="en-US" w:eastAsia="zh-CN"/>
        </w:rPr>
        <w:t>附註</w:t>
      </w:r>
    </w:p>
    <w:p>
      <w:pPr>
        <w:pStyle w:val="13"/>
        <w:spacing w:line="240" w:lineRule="auto"/>
        <w:rPr>
          <w:rFonts w:ascii="Arial" w:hAnsi="Arial" w:cs="Arial"/>
          <w:i w:val="0"/>
          <w:u w:val="single"/>
        </w:rPr>
      </w:pPr>
    </w:p>
    <w:p>
      <w:pPr>
        <w:rPr>
          <w:rFonts w:hint="eastAsia" w:ascii="Arial" w:hAnsi="Arial" w:eastAsia="Times New Roman" w:cs="Arial"/>
          <w:color w:val="auto"/>
          <w:sz w:val="20"/>
          <w:lang w:val="en-US" w:eastAsia="zh-HK" w:bidi="ar-SA"/>
        </w:rPr>
        <w:sectPr>
          <w:footerReference r:id="rId10" w:type="first"/>
          <w:footerReference r:id="rId9" w:type="default"/>
          <w:pgSz w:w="11907" w:h="16840"/>
          <w:pgMar w:top="1710" w:right="1418" w:bottom="964" w:left="1418" w:header="851" w:footer="851" w:gutter="0"/>
          <w:pgNumType w:fmt="decimal" w:start="1"/>
          <w:cols w:space="720" w:num="1"/>
          <w:titlePg/>
          <w:docGrid w:linePitch="326" w:charSpace="0"/>
        </w:sectPr>
      </w:pPr>
      <w:r>
        <w:rPr>
          <w:rFonts w:hint="eastAsia" w:ascii="Arial" w:hAnsi="Arial" w:eastAsia="Times New Roman" w:cs="Arial"/>
          <w:color w:val="auto"/>
          <w:sz w:val="20"/>
          <w:lang w:val="en-US" w:eastAsia="en-US" w:bidi="ar-SA"/>
        </w:rPr>
        <w:t>根據《創業板上市規則》第 17.52 條，公司須於之前刊發的表格內所載的任何詳情不再準確 後，在合理切實可行的情況下盡快向聯交所呈交經修訂的資料報表（以聯交所不時指定的電子格式），以供在聯交所網站刊載。</w:t>
      </w:r>
    </w:p>
    <w:p>
      <w:pPr>
        <w:rPr>
          <w:rFonts w:ascii="Arial" w:hAnsi="Arial" w:cs="Arial"/>
          <w:color w:val="0000FF"/>
          <w:sz w:val="20"/>
        </w:rPr>
      </w:pPr>
    </w:p>
    <w:p>
      <w:pPr>
        <w:rPr>
          <w:rFonts w:ascii="Arial" w:hAnsi="Arial" w:cs="Arial"/>
          <w:sz w:val="20"/>
        </w:rPr>
      </w:pPr>
    </w:p>
    <w:p>
      <w:pPr>
        <w:rPr>
          <w:rFonts w:ascii="Arial" w:hAnsi="Arial" w:cs="Arial"/>
          <w:sz w:val="20"/>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sectPr>
      <w:type w:val="continuous"/>
      <w:pgSz w:w="11907" w:h="16840"/>
      <w:pgMar w:top="1928" w:right="1418" w:bottom="964" w:left="1418" w:header="851" w:footer="851" w:gutter="0"/>
      <w:pgNumType w:fmt="decimal"/>
      <w:cols w:space="720" w:num="1"/>
      <w:formProt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Taipei">
    <w:altName w:val="Segoe Print"/>
    <w:panose1 w:val="00000000000000000000"/>
    <w:charset w:val="51"/>
    <w:family w:val="auto"/>
    <w:pitch w:val="default"/>
    <w:sig w:usb0="00000000" w:usb1="00000000" w:usb2="10000000" w:usb3="00000000" w:csb0="00100000" w:csb1="00000000"/>
  </w:font>
  <w:font w:name="Cambria">
    <w:panose1 w:val="02040503050406030204"/>
    <w:charset w:val="00"/>
    <w:family w:val="roman"/>
    <w:pitch w:val="default"/>
    <w:sig w:usb0="E00006FF" w:usb1="420024FF" w:usb2="02000000" w:usb3="00000000" w:csb0="2000019F" w:csb1="00000000"/>
  </w:font>
  <w:font w:name="Univers 65 Bold">
    <w:altName w:val="Times New Roman"/>
    <w:panose1 w:val="00000000000000000000"/>
    <w:charset w:val="00"/>
    <w:family w:val="auto"/>
    <w:pitch w:val="default"/>
    <w:sig w:usb0="00000000" w:usb1="00000000" w:usb2="00000000" w:usb3="00000000" w:csb0="00000001" w:csb1="00000000"/>
  </w:font>
  <w:font w:name="Univers 45 Light">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080"/>
        <w:tab w:val="clear" w:pos="4153"/>
      </w:tabs>
      <w:wordWrap w:val="0"/>
      <w:jc w:val="right"/>
      <w:rPr>
        <w:rFonts w:ascii="Arial" w:hAnsi="Arial" w:cs="Arial"/>
        <w:sz w:val="18"/>
        <w:szCs w:val="18"/>
        <w:lang w:eastAsia="zh-TW"/>
      </w:rPr>
    </w:pPr>
    <w:r>
      <w:rPr>
        <w:rStyle w:val="8"/>
        <w:rFonts w:ascii="Arial" w:hAnsi="Arial" w:cs="Arial"/>
        <w:sz w:val="18"/>
        <w:szCs w:val="18"/>
      </w:rPr>
      <w:tab/>
    </w:r>
    <w:r>
      <w:rPr>
        <w:rStyle w:val="8"/>
        <w:rFonts w:hint="eastAsia" w:ascii="Arial" w:hAnsi="Arial" w:eastAsia="宋体" w:cs="Arial"/>
        <w:sz w:val="18"/>
        <w:szCs w:val="18"/>
        <w:lang w:val="en-US" w:eastAsia="zh-CN"/>
      </w:rPr>
      <w:t>2024年2月</w:t>
    </w:r>
    <w:r>
      <w:rPr>
        <w:rStyle w:val="8"/>
        <w:rFonts w:ascii="Arial" w:hAnsi="Arial" w:cs="Arial"/>
        <w:sz w:val="18"/>
        <w:szCs w:val="18"/>
      </w:rPr>
      <w:br w:type="textWrapping"/>
    </w:r>
    <w:r>
      <w:rPr>
        <w:rStyle w:val="8"/>
        <w:rFonts w:hint="eastAsia" w:ascii="Arial" w:hAnsi="Arial" w:eastAsia="宋体" w:cs="Arial"/>
        <w:sz w:val="18"/>
        <w:szCs w:val="18"/>
        <w:lang w:val="en-US" w:eastAsia="zh-CN"/>
      </w:rPr>
      <w:t>表格</w:t>
    </w:r>
    <w:r>
      <w:rPr>
        <w:rStyle w:val="8"/>
        <w:rFonts w:ascii="Arial" w:hAnsi="Arial" w:cs="Arial"/>
        <w:sz w:val="18"/>
        <w:szCs w:val="18"/>
      </w:rPr>
      <w:t xml:space="preserve"> 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080"/>
        <w:tab w:val="clear" w:pos="4153"/>
      </w:tabs>
      <w:wordWrap w:val="0"/>
      <w:jc w:val="right"/>
      <w:rPr>
        <w:rFonts w:ascii="Arial" w:hAnsi="Arial" w:cs="Arial"/>
        <w:sz w:val="18"/>
        <w:szCs w:val="18"/>
        <w:lang w:eastAsia="zh-HK"/>
      </w:rPr>
    </w:pPr>
    <w:r>
      <w:rPr>
        <w:rStyle w:val="8"/>
        <w:rFonts w:hint="eastAsia" w:ascii="Arial" w:hAnsi="Arial" w:eastAsia="宋体" w:cs="Arial"/>
        <w:sz w:val="18"/>
        <w:szCs w:val="18"/>
        <w:lang w:val="en-US" w:eastAsia="zh-CN"/>
      </w:rPr>
      <w:t>第1页共4页</w:t>
    </w:r>
    <w:r>
      <w:rPr>
        <w:rStyle w:val="8"/>
        <w:rFonts w:ascii="Arial" w:hAnsi="Arial" w:cs="Arial"/>
        <w:sz w:val="18"/>
        <w:szCs w:val="18"/>
      </w:rPr>
      <w:tab/>
    </w:r>
    <w:r>
      <w:rPr>
        <w:rStyle w:val="8"/>
        <w:rFonts w:ascii="Arial" w:hAnsi="Arial" w:cs="Arial"/>
        <w:sz w:val="18"/>
        <w:szCs w:val="18"/>
        <w:lang w:eastAsia="zh-HK"/>
      </w:rPr>
      <w:t xml:space="preserve"> 202</w:t>
    </w:r>
    <w:r>
      <w:rPr>
        <w:rStyle w:val="8"/>
        <w:rFonts w:hint="eastAsia" w:ascii="Arial" w:hAnsi="Arial" w:eastAsia="宋体" w:cs="Arial"/>
        <w:sz w:val="18"/>
        <w:szCs w:val="18"/>
        <w:lang w:val="en-US" w:eastAsia="zh-CN"/>
      </w:rPr>
      <w:t>4年2月</w:t>
    </w:r>
    <w:r>
      <w:rPr>
        <w:rStyle w:val="8"/>
        <w:rFonts w:ascii="Arial" w:hAnsi="Arial" w:cs="Arial"/>
        <w:sz w:val="18"/>
        <w:szCs w:val="18"/>
        <w:lang w:eastAsia="zh-HK"/>
      </w:rPr>
      <w:br w:type="textWrapping"/>
    </w:r>
    <w:r>
      <w:rPr>
        <w:rStyle w:val="8"/>
        <w:rFonts w:hint="eastAsia" w:ascii="Arial" w:hAnsi="Arial" w:eastAsia="宋体" w:cs="Arial"/>
        <w:sz w:val="18"/>
        <w:szCs w:val="18"/>
        <w:lang w:val="en-US" w:eastAsia="zh-CN"/>
      </w:rPr>
      <w:t>表格</w:t>
    </w:r>
    <w:r>
      <w:rPr>
        <w:rStyle w:val="8"/>
        <w:rFonts w:ascii="Arial" w:hAnsi="Arial" w:cs="Arial"/>
        <w:sz w:val="18"/>
        <w:szCs w:val="18"/>
        <w:lang w:eastAsia="zh-HK"/>
      </w:rPr>
      <w:t xml:space="preserve"> 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080"/>
        <w:tab w:val="clear" w:pos="4153"/>
      </w:tabs>
      <w:wordWrap w:val="0"/>
      <w:jc w:val="right"/>
      <w:rPr>
        <w:rFonts w:ascii="Arial" w:hAnsi="Arial" w:cs="Arial"/>
        <w:sz w:val="18"/>
        <w:szCs w:val="18"/>
        <w:lang w:eastAsia="zh-TW"/>
      </w:rPr>
    </w:pPr>
    <w:r>
      <w:rPr>
        <w:sz w:val="18"/>
      </w:rPr>
      <mc:AlternateContent>
        <mc:Choice Requires="wps">
          <w:drawing>
            <wp:anchor distT="0" distB="0" distL="114300" distR="114300" simplePos="0" relativeHeight="251660288" behindDoc="0" locked="0" layoutInCell="1" allowOverlap="1">
              <wp:simplePos x="0" y="0"/>
              <wp:positionH relativeFrom="margin">
                <wp:posOffset>2403475</wp:posOffset>
              </wp:positionH>
              <wp:positionV relativeFrom="paragraph">
                <wp:posOffset>0</wp:posOffset>
              </wp:positionV>
              <wp:extent cx="1000760" cy="2305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00760"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4</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9.25pt;margin-top:0pt;height:18.15pt;width:78.8pt;mso-position-horizontal-relative:margin;z-index:251660288;mso-width-relative:page;mso-height-relative:page;" filled="f" stroked="f" coordsize="21600,21600" o:gfxdata="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R306s1gAAAAcBAAAPAAAAAAAAAAEAIAAAACIAAABkcnMvZG93bnJl&#10;di54bWxQSwECFAAUAAAACACHTuJAqL2b+jgCAABiBAAADgAAAAAAAAABACAAAAAlAQAAZHJzL2Uy&#10;b0RvYy54bWxQSwUGAAAAAAYABgBZAQAAzwUAAAAA&#10;">
              <v:fill on="f" focussize="0,0"/>
              <v:stroke on="f" weight="0.5pt"/>
              <v:imagedata o:title=""/>
              <o:lock v:ext="edit" aspectratio="f"/>
              <v:textbox inset="0mm,0mm,0mm,0mm">
                <w:txbxContent>
                  <w:p>
                    <w:pPr>
                      <w:pStyle w:val="3"/>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4</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mc:Fallback>
      </mc:AlternateContent>
    </w:r>
    <w:r>
      <w:rPr>
        <w:rStyle w:val="8"/>
        <w:rFonts w:ascii="Arial" w:hAnsi="Arial" w:cs="Arial"/>
        <w:sz w:val="18"/>
        <w:szCs w:val="18"/>
      </w:rPr>
      <w:tab/>
    </w:r>
    <w:r>
      <w:rPr>
        <w:rStyle w:val="8"/>
        <w:rFonts w:hint="eastAsia" w:ascii="Arial" w:hAnsi="Arial" w:eastAsia="宋体" w:cs="Arial"/>
        <w:sz w:val="18"/>
        <w:szCs w:val="18"/>
        <w:lang w:val="en-US" w:eastAsia="zh-CN"/>
      </w:rPr>
      <w:t>2024年2月</w:t>
    </w:r>
    <w:r>
      <w:rPr>
        <w:rStyle w:val="8"/>
        <w:rFonts w:ascii="Arial" w:hAnsi="Arial" w:cs="Arial"/>
        <w:sz w:val="18"/>
        <w:szCs w:val="18"/>
      </w:rPr>
      <w:br w:type="textWrapping"/>
    </w:r>
    <w:r>
      <w:rPr>
        <w:rStyle w:val="8"/>
        <w:rFonts w:hint="eastAsia" w:ascii="Arial" w:hAnsi="Arial" w:eastAsia="宋体" w:cs="Arial"/>
        <w:sz w:val="18"/>
        <w:szCs w:val="18"/>
        <w:lang w:val="en-US" w:eastAsia="zh-CN"/>
      </w:rPr>
      <w:t>表格</w:t>
    </w:r>
    <w:r>
      <w:rPr>
        <w:rStyle w:val="8"/>
        <w:rFonts w:ascii="Arial" w:hAnsi="Arial" w:cs="Arial"/>
        <w:sz w:val="18"/>
        <w:szCs w:val="18"/>
      </w:rPr>
      <w:t xml:space="preserve"> 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080"/>
        <w:tab w:val="clear" w:pos="4153"/>
      </w:tabs>
      <w:wordWrap w:val="0"/>
      <w:jc w:val="right"/>
      <w:rPr>
        <w:rFonts w:ascii="Arial" w:hAnsi="Arial" w:cs="Arial"/>
        <w:sz w:val="18"/>
        <w:szCs w:val="18"/>
        <w:lang w:eastAsia="zh-HK"/>
      </w:rPr>
    </w:pPr>
    <w:r>
      <w:rPr>
        <w:rStyle w:val="8"/>
        <w:rFonts w:hint="eastAsia" w:ascii="Arial" w:hAnsi="Arial" w:eastAsia="宋体" w:cs="Arial"/>
        <w:sz w:val="18"/>
        <w:szCs w:val="18"/>
        <w:lang w:val="en-US" w:eastAsia="zh-CN"/>
      </w:rPr>
      <w:t>第2页共4页</w:t>
    </w:r>
    <w:r>
      <w:rPr>
        <w:rStyle w:val="8"/>
        <w:rFonts w:ascii="Arial" w:hAnsi="Arial" w:cs="Arial"/>
        <w:sz w:val="18"/>
        <w:szCs w:val="18"/>
      </w:rPr>
      <w:tab/>
    </w:r>
    <w:r>
      <w:rPr>
        <w:rStyle w:val="8"/>
        <w:rFonts w:ascii="Arial" w:hAnsi="Arial" w:cs="Arial"/>
        <w:sz w:val="18"/>
        <w:szCs w:val="18"/>
        <w:lang w:eastAsia="zh-HK"/>
      </w:rPr>
      <w:t xml:space="preserve"> 202</w:t>
    </w:r>
    <w:r>
      <w:rPr>
        <w:rStyle w:val="8"/>
        <w:rFonts w:hint="eastAsia" w:ascii="Arial" w:hAnsi="Arial" w:eastAsia="宋体" w:cs="Arial"/>
        <w:sz w:val="18"/>
        <w:szCs w:val="18"/>
        <w:lang w:val="en-US" w:eastAsia="zh-CN"/>
      </w:rPr>
      <w:t>4年2月</w:t>
    </w:r>
    <w:r>
      <w:rPr>
        <w:rStyle w:val="8"/>
        <w:rFonts w:ascii="Arial" w:hAnsi="Arial" w:cs="Arial"/>
        <w:sz w:val="18"/>
        <w:szCs w:val="18"/>
        <w:lang w:eastAsia="zh-HK"/>
      </w:rPr>
      <w:br w:type="textWrapping"/>
    </w:r>
    <w:r>
      <w:rPr>
        <w:rStyle w:val="8"/>
        <w:rFonts w:hint="eastAsia" w:ascii="Arial" w:hAnsi="Arial" w:eastAsia="宋体" w:cs="Arial"/>
        <w:sz w:val="18"/>
        <w:szCs w:val="18"/>
        <w:lang w:val="en-US" w:eastAsia="zh-CN"/>
      </w:rPr>
      <w:t>表格</w:t>
    </w:r>
    <w:r>
      <w:rPr>
        <w:rStyle w:val="8"/>
        <w:rFonts w:ascii="Arial" w:hAnsi="Arial" w:cs="Arial"/>
        <w:sz w:val="18"/>
        <w:szCs w:val="18"/>
        <w:lang w:eastAsia="zh-HK"/>
      </w:rPr>
      <w:t xml:space="preserve"> 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Arial" w:hAnsi="Arial" w:cs="Arial"/>
        <w:sz w:val="18"/>
        <w:szCs w:val="18"/>
      </w:rPr>
    </w:pPr>
    <w:r>
      <w:rPr>
        <w:rFonts w:ascii="Arial" w:hAnsi="Arial" w:cs="Arial"/>
        <w:sz w:val="18"/>
        <w:szCs w:val="18"/>
      </w:rPr>
      <w:t>FF003G</w:t>
    </w:r>
  </w:p>
  <w:p>
    <w:pPr>
      <w:pStyle w:val="4"/>
      <w:jc w:val="right"/>
      <w:rPr>
        <w:rFonts w:ascii="Arial" w:hAnsi="Arial" w:cs="Arial"/>
      </w:rPr>
    </w:pPr>
  </w:p>
  <w:p>
    <w:pPr>
      <w:pStyle w:val="4"/>
      <w:tabs>
        <w:tab w:val="left" w:pos="2250"/>
      </w:tabs>
      <w:rPr>
        <w:rFonts w:hint="eastAsia" w:ascii="Arial" w:hAnsi="Arial" w:cs="Arial"/>
        <w:b/>
        <w:color w:val="0000FF"/>
      </w:rPr>
    </w:pPr>
    <w:r>
      <w:rPr>
        <w:rFonts w:hint="eastAsia" w:ascii="Arial" w:hAnsi="Arial" w:cs="Arial"/>
        <w:b/>
        <w:color w:val="0000FF"/>
      </w:rPr>
      <w:t>香港聯合交易所有限公司</w:t>
    </w:r>
  </w:p>
  <w:p>
    <w:pPr>
      <w:pStyle w:val="4"/>
      <w:tabs>
        <w:tab w:val="left" w:pos="2250"/>
      </w:tabs>
    </w:pPr>
    <w:r>
      <w:rPr>
        <w:rFonts w:ascii="Arial" w:hAnsi="Arial" w:cs="Arial"/>
        <w:i/>
        <w:color w:val="0000FF"/>
        <w:sz w:val="18"/>
      </w:rPr>
      <w:t>(</w:t>
    </w:r>
    <w:r>
      <w:rPr>
        <w:rFonts w:hint="eastAsia" w:ascii="Arial" w:hAnsi="Arial" w:cs="Arial"/>
        <w:i/>
        <w:color w:val="0000FF"/>
        <w:sz w:val="18"/>
      </w:rPr>
      <w:t>香港交易及结算所有限公司的全资子公司</w:t>
    </w:r>
    <w:r>
      <w:rPr>
        <w:rFonts w:ascii="Arial" w:hAnsi="Arial" w:cs="Arial"/>
        <w:i/>
        <w:color w:val="0000FF"/>
        <w:sz w:val="18"/>
      </w:rPr>
      <w:t>)</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Arial" w:hAnsi="Arial" w:cs="Arial"/>
        <w:sz w:val="18"/>
      </w:rPr>
    </w:pPr>
    <w:r>
      <w:rPr>
        <w:rFonts w:ascii="Arial" w:hAnsi="Arial" w:cs="Arial"/>
        <w:b/>
        <w:color w:val="0000FF"/>
      </w:rPr>
      <w:drawing>
        <wp:anchor distT="0" distB="0" distL="114300" distR="114300" simplePos="0" relativeHeight="251659264" behindDoc="1" locked="0" layoutInCell="1" allowOverlap="1">
          <wp:simplePos x="0" y="0"/>
          <wp:positionH relativeFrom="column">
            <wp:posOffset>-240665</wp:posOffset>
          </wp:positionH>
          <wp:positionV relativeFrom="paragraph">
            <wp:posOffset>-247015</wp:posOffset>
          </wp:positionV>
          <wp:extent cx="1423670" cy="905510"/>
          <wp:effectExtent l="0" t="0" r="5080" b="8890"/>
          <wp:wrapThrough wrapText="bothSides">
            <wp:wrapPolygon>
              <wp:start x="0" y="0"/>
              <wp:lineTo x="0" y="21358"/>
              <wp:lineTo x="21388" y="21358"/>
              <wp:lineTo x="21388" y="0"/>
              <wp:lineTo x="0" y="0"/>
            </wp:wrapPolygon>
          </wp:wrapThrough>
          <wp:docPr id="1459261491" name="Picture 145926149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61491" name="Picture 1459261491"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23670" cy="905510"/>
                  </a:xfrm>
                  <a:prstGeom prst="rect">
                    <a:avLst/>
                  </a:prstGeom>
                  <a:noFill/>
                  <a:ln>
                    <a:noFill/>
                  </a:ln>
                </pic:spPr>
              </pic:pic>
            </a:graphicData>
          </a:graphic>
        </wp:anchor>
      </w:drawing>
    </w:r>
    <w:r>
      <w:rPr>
        <w:rFonts w:ascii="Arial" w:hAnsi="Arial" w:cs="Arial"/>
        <w:sz w:val="18"/>
      </w:rPr>
      <w:t>FF003G</w:t>
    </w:r>
  </w:p>
  <w:p>
    <w:pPr>
      <w:jc w:val="right"/>
      <w:rPr>
        <w:rFonts w:ascii="Arial" w:hAnsi="Arial" w:cs="Arial"/>
        <w:sz w:val="18"/>
      </w:rPr>
    </w:pPr>
  </w:p>
  <w:p>
    <w:pPr>
      <w:pStyle w:val="4"/>
      <w:tabs>
        <w:tab w:val="left" w:pos="2250"/>
      </w:tabs>
      <w:jc w:val="center"/>
      <w:rPr>
        <w:rFonts w:ascii="Arial" w:hAnsi="Arial" w:cs="Arial"/>
        <w:color w:val="000000"/>
        <w:sz w:val="18"/>
      </w:rPr>
    </w:pPr>
  </w:p>
  <w:p>
    <w:pPr>
      <w:pStyle w:val="4"/>
      <w:tabs>
        <w:tab w:val="left" w:pos="2250"/>
      </w:tabs>
      <w:rPr>
        <w:rFonts w:ascii="Arial" w:hAnsi="Arial" w:cs="Arial"/>
        <w:b/>
        <w:color w:val="0000FF"/>
      </w:rPr>
    </w:pPr>
    <w:r>
      <w:rPr>
        <w:rFonts w:ascii="Arial" w:hAnsi="Arial" w:cs="Arial"/>
        <w:b/>
        <w:color w:val="0000FF"/>
      </w:rPr>
      <w:t xml:space="preserve"> </w:t>
    </w:r>
  </w:p>
  <w:p>
    <w:pPr>
      <w:pStyle w:val="4"/>
      <w:tabs>
        <w:tab w:val="left" w:pos="2250"/>
      </w:tabs>
      <w:rPr>
        <w:rFonts w:ascii="Arial" w:hAnsi="Arial" w:cs="Arial"/>
        <w:b/>
        <w:color w:val="0000FF"/>
      </w:rPr>
    </w:pPr>
  </w:p>
  <w:p>
    <w:pPr>
      <w:pStyle w:val="4"/>
      <w:tabs>
        <w:tab w:val="left" w:pos="2250"/>
      </w:tabs>
      <w:rPr>
        <w:rFonts w:hint="eastAsia" w:ascii="Arial" w:hAnsi="Arial" w:cs="Arial"/>
        <w:b/>
        <w:color w:val="0000FF"/>
      </w:rPr>
    </w:pPr>
    <w:r>
      <w:rPr>
        <w:rFonts w:hint="eastAsia" w:ascii="Arial" w:hAnsi="Arial" w:cs="Arial"/>
        <w:b/>
        <w:color w:val="0000FF"/>
      </w:rPr>
      <w:t>香港聯合交易所有限公司</w:t>
    </w:r>
  </w:p>
  <w:p>
    <w:pPr>
      <w:pStyle w:val="4"/>
      <w:tabs>
        <w:tab w:val="left" w:pos="2250"/>
      </w:tabs>
      <w:rPr>
        <w:rFonts w:ascii="Arial" w:hAnsi="Arial" w:cs="Arial"/>
        <w:i/>
        <w:color w:val="0000FF"/>
        <w:sz w:val="18"/>
      </w:rPr>
    </w:pPr>
    <w:r>
      <w:rPr>
        <w:rFonts w:ascii="Arial" w:hAnsi="Arial" w:eastAsia="宋体" w:cs="Arial"/>
        <w:i/>
        <w:color w:val="0000FF"/>
        <w:sz w:val="18"/>
      </w:rPr>
      <w:t>(</w:t>
    </w:r>
    <w:r>
      <w:rPr>
        <w:rFonts w:hint="eastAsia" w:ascii="Arial" w:hAnsi="Arial" w:eastAsia="宋体" w:cs="Arial"/>
        <w:i/>
        <w:color w:val="0000FF"/>
        <w:sz w:val="18"/>
        <w:lang w:val="en-US" w:eastAsia="zh-CN"/>
      </w:rPr>
      <w:t>為</w:t>
    </w:r>
    <w:r>
      <w:rPr>
        <w:rFonts w:hint="eastAsia" w:ascii="Arial" w:hAnsi="Arial" w:eastAsia="宋体" w:cs="Arial"/>
        <w:i/>
        <w:color w:val="0000FF"/>
        <w:sz w:val="18"/>
      </w:rPr>
      <w:t>香港交易及結算所有限公司的全資</w:t>
    </w:r>
    <w:r>
      <w:rPr>
        <w:rFonts w:hint="eastAsia" w:ascii="Arial" w:hAnsi="Arial" w:eastAsia="宋体" w:cs="Arial"/>
        <w:i/>
        <w:color w:val="0000FF"/>
        <w:sz w:val="18"/>
        <w:lang w:val="en-US" w:eastAsia="zh-CN"/>
      </w:rPr>
      <w:t>附屬</w:t>
    </w:r>
    <w:r>
      <w:rPr>
        <w:rFonts w:hint="eastAsia" w:ascii="Arial" w:hAnsi="Arial" w:eastAsia="宋体" w:cs="Arial"/>
        <w:i/>
        <w:color w:val="0000FF"/>
        <w:sz w:val="18"/>
      </w:rPr>
      <w:t>公司</w:t>
    </w:r>
    <w:r>
      <w:rPr>
        <w:rFonts w:ascii="Arial" w:hAnsi="Arial" w:eastAsia="宋体" w:cs="Arial"/>
        <w:i/>
        <w:color w:val="0000FF"/>
        <w:sz w:val="18"/>
      </w:rPr>
      <w:t>)</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63"/>
  <w:displayHorizontalDrawingGridEvery w:val="0"/>
  <w:displayVerticalDrawingGridEvery w:val="2"/>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lYzNlZmZkNzQ5ZTgwYTZjYjBmMzY0OWYxMjgyNjIifQ=="/>
  </w:docVars>
  <w:rsids>
    <w:rsidRoot w:val="00172A27"/>
    <w:rsid w:val="000610C3"/>
    <w:rsid w:val="0010454A"/>
    <w:rsid w:val="001160C9"/>
    <w:rsid w:val="00156F62"/>
    <w:rsid w:val="00190CD6"/>
    <w:rsid w:val="00195D8B"/>
    <w:rsid w:val="001F055E"/>
    <w:rsid w:val="00330CEF"/>
    <w:rsid w:val="003D35F0"/>
    <w:rsid w:val="003E181E"/>
    <w:rsid w:val="00462871"/>
    <w:rsid w:val="005C5BE2"/>
    <w:rsid w:val="005E01BD"/>
    <w:rsid w:val="005F08AC"/>
    <w:rsid w:val="00643383"/>
    <w:rsid w:val="00683001"/>
    <w:rsid w:val="00696D6E"/>
    <w:rsid w:val="007109FF"/>
    <w:rsid w:val="00730C20"/>
    <w:rsid w:val="00741589"/>
    <w:rsid w:val="007B7436"/>
    <w:rsid w:val="007F41CE"/>
    <w:rsid w:val="007F760B"/>
    <w:rsid w:val="00813D3E"/>
    <w:rsid w:val="008871CF"/>
    <w:rsid w:val="008A0885"/>
    <w:rsid w:val="008E795B"/>
    <w:rsid w:val="0094205F"/>
    <w:rsid w:val="009756E4"/>
    <w:rsid w:val="00980449"/>
    <w:rsid w:val="009C3F4D"/>
    <w:rsid w:val="00A5036B"/>
    <w:rsid w:val="00A97F62"/>
    <w:rsid w:val="00AB1460"/>
    <w:rsid w:val="00AD394C"/>
    <w:rsid w:val="00B70F13"/>
    <w:rsid w:val="00BC7C63"/>
    <w:rsid w:val="00C51656"/>
    <w:rsid w:val="00C77500"/>
    <w:rsid w:val="00CB4288"/>
    <w:rsid w:val="00D16038"/>
    <w:rsid w:val="00E32094"/>
    <w:rsid w:val="00E558B4"/>
    <w:rsid w:val="00E9003C"/>
    <w:rsid w:val="00ED3AB1"/>
    <w:rsid w:val="00ED4A6D"/>
    <w:rsid w:val="00F112F0"/>
    <w:rsid w:val="00F20472"/>
    <w:rsid w:val="00FD6342"/>
    <w:rsid w:val="0284056C"/>
    <w:rsid w:val="02AB78A7"/>
    <w:rsid w:val="043D6C25"/>
    <w:rsid w:val="06A50AB1"/>
    <w:rsid w:val="0B9C7B56"/>
    <w:rsid w:val="0C957049"/>
    <w:rsid w:val="0D462A1D"/>
    <w:rsid w:val="0E5434E9"/>
    <w:rsid w:val="11934F04"/>
    <w:rsid w:val="15B036FB"/>
    <w:rsid w:val="19C92FDD"/>
    <w:rsid w:val="19E971DB"/>
    <w:rsid w:val="1AAC1FB7"/>
    <w:rsid w:val="1B0818E3"/>
    <w:rsid w:val="1CE27F12"/>
    <w:rsid w:val="1E673738"/>
    <w:rsid w:val="237B69CA"/>
    <w:rsid w:val="24F15196"/>
    <w:rsid w:val="25410BC1"/>
    <w:rsid w:val="26493C56"/>
    <w:rsid w:val="26CA0394"/>
    <w:rsid w:val="2A900FAD"/>
    <w:rsid w:val="2C043A01"/>
    <w:rsid w:val="2D83304B"/>
    <w:rsid w:val="2E3B4D11"/>
    <w:rsid w:val="2EEA15D4"/>
    <w:rsid w:val="2F3077AE"/>
    <w:rsid w:val="333C43C8"/>
    <w:rsid w:val="3518676F"/>
    <w:rsid w:val="353C06AF"/>
    <w:rsid w:val="36AA5AEC"/>
    <w:rsid w:val="37692071"/>
    <w:rsid w:val="380B4369"/>
    <w:rsid w:val="3F362489"/>
    <w:rsid w:val="3FA70417"/>
    <w:rsid w:val="3FE843A1"/>
    <w:rsid w:val="42771912"/>
    <w:rsid w:val="429749F6"/>
    <w:rsid w:val="429E4757"/>
    <w:rsid w:val="46F25071"/>
    <w:rsid w:val="490547BC"/>
    <w:rsid w:val="49A05E09"/>
    <w:rsid w:val="49D34097"/>
    <w:rsid w:val="4B842010"/>
    <w:rsid w:val="4D50214E"/>
    <w:rsid w:val="4EA35EC7"/>
    <w:rsid w:val="4F2F01CE"/>
    <w:rsid w:val="52C04276"/>
    <w:rsid w:val="53373E0C"/>
    <w:rsid w:val="53AE2E3D"/>
    <w:rsid w:val="541F321E"/>
    <w:rsid w:val="546B6463"/>
    <w:rsid w:val="55216B22"/>
    <w:rsid w:val="554A2F57"/>
    <w:rsid w:val="558D0F69"/>
    <w:rsid w:val="5A5A4FB0"/>
    <w:rsid w:val="5C50546D"/>
    <w:rsid w:val="5C923E65"/>
    <w:rsid w:val="5D2C42B6"/>
    <w:rsid w:val="5DA12EF6"/>
    <w:rsid w:val="5FC133DB"/>
    <w:rsid w:val="611063C8"/>
    <w:rsid w:val="61D844E4"/>
    <w:rsid w:val="63936E3D"/>
    <w:rsid w:val="63E36016"/>
    <w:rsid w:val="64836EB1"/>
    <w:rsid w:val="64A2160F"/>
    <w:rsid w:val="6B471433"/>
    <w:rsid w:val="6C59441F"/>
    <w:rsid w:val="6D45564C"/>
    <w:rsid w:val="6DA07B3F"/>
    <w:rsid w:val="6F6A6E06"/>
    <w:rsid w:val="717E27BC"/>
    <w:rsid w:val="73221F8B"/>
    <w:rsid w:val="74387CB8"/>
    <w:rsid w:val="746C5BB4"/>
    <w:rsid w:val="752D3704"/>
    <w:rsid w:val="76393596"/>
    <w:rsid w:val="76E25CB9"/>
    <w:rsid w:val="76EC2FDC"/>
    <w:rsid w:val="78AC23F2"/>
    <w:rsid w:val="792D6FAC"/>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aipei" w:hAnsi="Taipei" w:eastAsia="Taipei" w:cs="Times New Roman"/>
      <w:sz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6"/>
    <w:autoRedefine/>
    <w:semiHidden/>
    <w:unhideWhenUsed/>
    <w:qFormat/>
    <w:uiPriority w:val="99"/>
    <w:rPr>
      <w:rFonts w:ascii="Cambria" w:hAnsi="Cambria" w:eastAsia="PMingLiU"/>
      <w:sz w:val="16"/>
      <w:szCs w:val="16"/>
    </w:rPr>
  </w:style>
  <w:style w:type="paragraph" w:styleId="3">
    <w:name w:val="footer"/>
    <w:basedOn w:val="1"/>
    <w:autoRedefine/>
    <w:qFormat/>
    <w:uiPriority w:val="0"/>
    <w:pPr>
      <w:tabs>
        <w:tab w:val="center" w:pos="4153"/>
        <w:tab w:val="right" w:pos="8306"/>
      </w:tabs>
      <w:snapToGrid w:val="0"/>
    </w:pPr>
    <w:rPr>
      <w:sz w:val="20"/>
    </w:rPr>
  </w:style>
  <w:style w:type="paragraph" w:styleId="4">
    <w:name w:val="header"/>
    <w:basedOn w:val="1"/>
    <w:autoRedefine/>
    <w:qFormat/>
    <w:uiPriority w:val="0"/>
    <w:pPr>
      <w:tabs>
        <w:tab w:val="center" w:pos="4153"/>
        <w:tab w:val="right" w:pos="8306"/>
      </w:tabs>
      <w:snapToGrid w:val="0"/>
    </w:pPr>
    <w:rPr>
      <w:sz w:val="20"/>
    </w:rPr>
  </w:style>
  <w:style w:type="table" w:styleId="6">
    <w:name w:val="Table Grid"/>
    <w:basedOn w:val="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paragraph" w:customStyle="1" w:styleId="9">
    <w:name w:val="Subhead  12 pt"/>
    <w:basedOn w:val="10"/>
    <w:autoRedefine/>
    <w:qFormat/>
    <w:uiPriority w:val="0"/>
    <w:pPr>
      <w:tabs>
        <w:tab w:val="left" w:pos="567"/>
        <w:tab w:val="left" w:pos="1134"/>
        <w:tab w:val="left" w:pos="1701"/>
        <w:tab w:val="left" w:pos="2268"/>
      </w:tabs>
      <w:spacing w:line="300" w:lineRule="atLeast"/>
    </w:pPr>
    <w:rPr>
      <w:sz w:val="24"/>
    </w:rPr>
  </w:style>
  <w:style w:type="paragraph" w:customStyle="1" w:styleId="10">
    <w:name w:val="Subhead 1"/>
    <w:basedOn w:val="11"/>
    <w:autoRedefine/>
    <w:qFormat/>
    <w:uiPriority w:val="0"/>
    <w:pPr>
      <w:tabs>
        <w:tab w:val="left" w:pos="567"/>
        <w:tab w:val="left" w:pos="1134"/>
        <w:tab w:val="left" w:pos="1701"/>
        <w:tab w:val="left" w:pos="2268"/>
      </w:tabs>
    </w:pPr>
    <w:rPr>
      <w:caps/>
    </w:rPr>
  </w:style>
  <w:style w:type="paragraph" w:customStyle="1" w:styleId="11">
    <w:name w:val="Subhead 2"/>
    <w:basedOn w:val="12"/>
    <w:autoRedefine/>
    <w:qFormat/>
    <w:uiPriority w:val="0"/>
    <w:pPr>
      <w:tabs>
        <w:tab w:val="left" w:pos="567"/>
        <w:tab w:val="left" w:pos="1134"/>
        <w:tab w:val="left" w:pos="1701"/>
        <w:tab w:val="left" w:pos="2268"/>
      </w:tabs>
      <w:jc w:val="center"/>
    </w:pPr>
    <w:rPr>
      <w:rFonts w:ascii="Univers 65 Bold" w:hAnsi="Univers 65 Bold"/>
      <w:color w:val="auto"/>
    </w:rPr>
  </w:style>
  <w:style w:type="paragraph" w:customStyle="1" w:styleId="12">
    <w:name w:val="Body Text1"/>
    <w:autoRedefine/>
    <w:qFormat/>
    <w:uiPriority w:val="0"/>
    <w:pPr>
      <w:tabs>
        <w:tab w:val="left" w:pos="567"/>
        <w:tab w:val="left" w:pos="1134"/>
        <w:tab w:val="left" w:pos="1701"/>
        <w:tab w:val="left" w:pos="2268"/>
      </w:tabs>
      <w:spacing w:line="260" w:lineRule="atLeast"/>
      <w:jc w:val="both"/>
    </w:pPr>
    <w:rPr>
      <w:rFonts w:ascii="Univers 45 Light" w:hAnsi="Univers 45 Light" w:eastAsia="Times New Roman" w:cs="Times New Roman"/>
      <w:color w:val="000000"/>
      <w:lang w:val="en-US" w:eastAsia="en-US" w:bidi="ar-SA"/>
    </w:rPr>
  </w:style>
  <w:style w:type="paragraph" w:customStyle="1" w:styleId="13">
    <w:name w:val="Notes"/>
    <w:basedOn w:val="12"/>
    <w:autoRedefine/>
    <w:qFormat/>
    <w:uiPriority w:val="0"/>
    <w:pPr>
      <w:ind w:left="567" w:hanging="567"/>
    </w:pPr>
    <w:rPr>
      <w:i/>
      <w:color w:val="auto"/>
    </w:rPr>
  </w:style>
  <w:style w:type="paragraph" w:customStyle="1" w:styleId="14">
    <w:name w:val="Heading"/>
    <w:autoRedefine/>
    <w:qFormat/>
    <w:uiPriority w:val="0"/>
    <w:pPr>
      <w:tabs>
        <w:tab w:val="left" w:pos="567"/>
        <w:tab w:val="left" w:pos="1134"/>
        <w:tab w:val="left" w:pos="1701"/>
        <w:tab w:val="left" w:pos="2268"/>
      </w:tabs>
      <w:spacing w:after="125" w:line="320" w:lineRule="atLeast"/>
      <w:jc w:val="center"/>
    </w:pPr>
    <w:rPr>
      <w:rFonts w:ascii="Univers 65 Bold" w:hAnsi="Univers 65 Bold" w:eastAsia="Times New Roman" w:cs="Times New Roman"/>
      <w:sz w:val="28"/>
      <w:lang w:val="en-US" w:eastAsia="en-US" w:bidi="ar-SA"/>
    </w:rPr>
  </w:style>
  <w:style w:type="paragraph" w:customStyle="1" w:styleId="15">
    <w:name w:val="Char1 Char Char"/>
    <w:basedOn w:val="1"/>
    <w:autoRedefine/>
    <w:qFormat/>
    <w:uiPriority w:val="0"/>
    <w:pPr>
      <w:spacing w:after="160" w:line="240" w:lineRule="exact"/>
    </w:pPr>
    <w:rPr>
      <w:rFonts w:ascii="Verdana" w:hAnsi="Verdana" w:eastAsia="Times New Roman"/>
      <w:sz w:val="20"/>
      <w:lang w:eastAsia="en-US"/>
    </w:rPr>
  </w:style>
  <w:style w:type="character" w:customStyle="1" w:styleId="16">
    <w:name w:val="Balloon Text Char"/>
    <w:link w:val="2"/>
    <w:autoRedefine/>
    <w:semiHidden/>
    <w:qFormat/>
    <w:uiPriority w:val="99"/>
    <w:rPr>
      <w:rFonts w:ascii="Cambria" w:hAnsi="Cambria" w:eastAsia="PMingLiU" w:cs="Times New Roman"/>
      <w:sz w:val="16"/>
      <w:szCs w:val="16"/>
      <w:lang w:eastAsia="zh-CN"/>
    </w:rPr>
  </w:style>
  <w:style w:type="paragraph" w:customStyle="1" w:styleId="17">
    <w:name w:val="Revision"/>
    <w:autoRedefine/>
    <w:hidden/>
    <w:semiHidden/>
    <w:qFormat/>
    <w:uiPriority w:val="99"/>
    <w:rPr>
      <w:rFonts w:ascii="Taipei" w:hAnsi="Taipei" w:eastAsia="Taipei"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D851E-AC6C-4611-8488-5FF588B97B6B}">
  <ds:schemaRefs/>
</ds:datastoreItem>
</file>

<file path=customXml/itemProps3.xml><?xml version="1.0" encoding="utf-8"?>
<ds:datastoreItem xmlns:ds="http://schemas.openxmlformats.org/officeDocument/2006/customXml" ds:itemID="{5640BBF6-7B5D-48A0-8DB4-1362B343043C}">
  <ds:schemaRefs/>
</ds:datastoreItem>
</file>

<file path=customXml/itemProps4.xml><?xml version="1.0" encoding="utf-8"?>
<ds:datastoreItem xmlns:ds="http://schemas.openxmlformats.org/officeDocument/2006/customXml" ds:itemID="{41377468-68A6-4721-BAB3-4AF6E77F0BDB}">
  <ds:schemaRefs/>
</ds:datastoreItem>
</file>

<file path=docProps/app.xml><?xml version="1.0" encoding="utf-8"?>
<Properties xmlns="http://schemas.openxmlformats.org/officeDocument/2006/extended-properties" xmlns:vt="http://schemas.openxmlformats.org/officeDocument/2006/docPropsVTypes">
  <Template>Normal.dotm</Template>
  <Company>The Stock Exchange of Hong Kong Limited</Company>
  <Pages>4</Pages>
  <Words>840</Words>
  <Characters>4646</Characters>
  <Lines>37</Lines>
  <Paragraphs>10</Paragraphs>
  <TotalTime>18</TotalTime>
  <ScaleCrop>false</ScaleCrop>
  <LinksUpToDate>false</LinksUpToDate>
  <CharactersWithSpaces>5488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2023-08-17T02:39:00Z</dcterms:created>
  <dc:creator>Listing Division</dc:creator>
  <cp:lastModifiedBy>万全～July</cp:lastModifiedBy>
  <cp:lastPrinted>2023-12-15T02:37:00Z</cp:lastPrinted>
  <dcterms:modified xsi:type="dcterms:W3CDTF">2024-03-12T07:02:14Z</dcterms:modified>
  <dc:title>Appendix 5 FORM F</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KSOProductBuildVer">
    <vt:lpwstr>2052-12.1.0.16388</vt:lpwstr>
  </property>
  <property fmtid="{D5CDD505-2E9C-101B-9397-08002B2CF9AE}" pid="4" name="ICV">
    <vt:lpwstr>7C588E768C1848FFA07E894C64479E5F_13</vt:lpwstr>
  </property>
</Properties>
</file>