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B595" w14:textId="48AD8AB5" w:rsidR="00A5789C" w:rsidRPr="0064652A" w:rsidRDefault="00A5789C" w:rsidP="00A5789C">
      <w:pPr>
        <w:spacing w:before="80" w:line="244" w:lineRule="auto"/>
        <w:ind w:right="99"/>
        <w:jc w:val="both"/>
        <w:rPr>
          <w:i/>
          <w:sz w:val="23"/>
        </w:rPr>
      </w:pPr>
      <w:bookmarkStart w:id="0" w:name="1"/>
      <w:bookmarkEnd w:id="0"/>
      <w:r w:rsidRPr="0064652A">
        <w:rPr>
          <w:i/>
          <w:color w:val="231F20"/>
          <w:sz w:val="23"/>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0AECFB8F" w14:textId="77777777" w:rsidR="00A5789C" w:rsidRPr="0064652A" w:rsidRDefault="00A5789C" w:rsidP="00A5789C">
      <w:pPr>
        <w:pStyle w:val="a3"/>
        <w:rPr>
          <w:i/>
        </w:rPr>
      </w:pPr>
    </w:p>
    <w:p w14:paraId="407B5C0A" w14:textId="77777777" w:rsidR="00A5789C" w:rsidRPr="0064652A" w:rsidRDefault="00A5789C" w:rsidP="00A5789C">
      <w:pPr>
        <w:pStyle w:val="a3"/>
        <w:rPr>
          <w:i/>
        </w:rPr>
      </w:pPr>
    </w:p>
    <w:p w14:paraId="5786C339" w14:textId="77777777" w:rsidR="00A5789C" w:rsidRPr="0064652A" w:rsidRDefault="00A5789C" w:rsidP="00A5789C">
      <w:pPr>
        <w:pStyle w:val="a3"/>
        <w:spacing w:before="1"/>
        <w:rPr>
          <w:i/>
          <w:sz w:val="12"/>
        </w:rPr>
      </w:pPr>
      <w:r w:rsidRPr="0064652A">
        <w:rPr>
          <w:noProof/>
          <w:lang w:eastAsia="zh-TW"/>
        </w:rPr>
        <w:drawing>
          <wp:anchor distT="0" distB="0" distL="0" distR="0" simplePos="0" relativeHeight="251659264" behindDoc="0" locked="0" layoutInCell="1" allowOverlap="1" wp14:anchorId="7C87DA8F" wp14:editId="02D88D33">
            <wp:simplePos x="0" y="0"/>
            <wp:positionH relativeFrom="page">
              <wp:posOffset>2783154</wp:posOffset>
            </wp:positionH>
            <wp:positionV relativeFrom="paragraph">
              <wp:posOffset>113074</wp:posOffset>
            </wp:positionV>
            <wp:extent cx="1958863" cy="55702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58863" cy="557022"/>
                    </a:xfrm>
                    <a:prstGeom prst="rect">
                      <a:avLst/>
                    </a:prstGeom>
                  </pic:spPr>
                </pic:pic>
              </a:graphicData>
            </a:graphic>
          </wp:anchor>
        </w:drawing>
      </w:r>
    </w:p>
    <w:p w14:paraId="67FC4882" w14:textId="77777777" w:rsidR="00A5789C" w:rsidRPr="0064652A" w:rsidRDefault="00A5789C" w:rsidP="00A5789C">
      <w:pPr>
        <w:pStyle w:val="a3"/>
        <w:spacing w:before="1"/>
        <w:rPr>
          <w:i/>
          <w:sz w:val="30"/>
        </w:rPr>
      </w:pPr>
    </w:p>
    <w:p w14:paraId="54768528" w14:textId="77777777" w:rsidR="00A5789C" w:rsidRPr="0064652A" w:rsidRDefault="00A5789C" w:rsidP="00A5789C">
      <w:pPr>
        <w:spacing w:line="344" w:lineRule="exact"/>
        <w:ind w:left="1776" w:right="1770"/>
        <w:jc w:val="center"/>
        <w:rPr>
          <w:b/>
          <w:sz w:val="31"/>
        </w:rPr>
      </w:pPr>
      <w:r w:rsidRPr="0064652A">
        <w:rPr>
          <w:b/>
          <w:color w:val="221815"/>
          <w:sz w:val="31"/>
        </w:rPr>
        <w:t>NIMBLE HOLDINGS COMPANY LIMITED</w:t>
      </w:r>
    </w:p>
    <w:p w14:paraId="61DF38E1" w14:textId="77777777" w:rsidR="00A5789C" w:rsidRPr="0064652A" w:rsidRDefault="00A5789C" w:rsidP="00A5789C">
      <w:pPr>
        <w:spacing w:line="494" w:lineRule="exact"/>
        <w:ind w:left="1660" w:right="1770"/>
        <w:jc w:val="center"/>
        <w:rPr>
          <w:rFonts w:ascii="Meiryo UI" w:eastAsia="Meiryo UI"/>
          <w:b/>
          <w:sz w:val="31"/>
        </w:rPr>
      </w:pPr>
      <w:proofErr w:type="spellStart"/>
      <w:r w:rsidRPr="0064652A">
        <w:rPr>
          <w:rFonts w:ascii="Meiryo UI" w:eastAsia="Meiryo UI" w:hint="eastAsia"/>
          <w:b/>
          <w:color w:val="221815"/>
          <w:sz w:val="31"/>
        </w:rPr>
        <w:t>敏捷控股有限公司</w:t>
      </w:r>
      <w:proofErr w:type="spellEnd"/>
    </w:p>
    <w:p w14:paraId="4B95F86A" w14:textId="77777777" w:rsidR="00A5789C" w:rsidRPr="0064652A" w:rsidRDefault="00A5789C" w:rsidP="00A5789C">
      <w:pPr>
        <w:spacing w:line="201" w:lineRule="exact"/>
        <w:ind w:left="1771" w:right="1770"/>
        <w:jc w:val="center"/>
        <w:rPr>
          <w:i/>
          <w:sz w:val="19"/>
        </w:rPr>
      </w:pPr>
      <w:r w:rsidRPr="0064652A">
        <w:rPr>
          <w:i/>
          <w:color w:val="231F20"/>
          <w:sz w:val="19"/>
        </w:rPr>
        <w:t>(Incorporated in the Cayman Islands and continued in Bermuda with limited liability)</w:t>
      </w:r>
    </w:p>
    <w:p w14:paraId="5367CAD5" w14:textId="77777777" w:rsidR="00A5789C" w:rsidRPr="0064652A" w:rsidRDefault="00A5789C" w:rsidP="00A5789C">
      <w:pPr>
        <w:spacing w:before="4"/>
        <w:ind w:left="1767" w:right="1770"/>
        <w:jc w:val="center"/>
        <w:rPr>
          <w:b/>
          <w:sz w:val="23"/>
        </w:rPr>
      </w:pPr>
      <w:r w:rsidRPr="0064652A">
        <w:rPr>
          <w:b/>
          <w:color w:val="231F20"/>
          <w:sz w:val="23"/>
        </w:rPr>
        <w:t>(Stock code: 186)</w:t>
      </w:r>
    </w:p>
    <w:p w14:paraId="4FDD1C6D" w14:textId="77777777" w:rsidR="00A5789C" w:rsidRPr="0064652A" w:rsidRDefault="00A5789C" w:rsidP="00A5789C">
      <w:pPr>
        <w:pStyle w:val="a3"/>
        <w:spacing w:before="8"/>
        <w:rPr>
          <w:b/>
          <w:sz w:val="23"/>
        </w:rPr>
      </w:pPr>
    </w:p>
    <w:p w14:paraId="709873A3" w14:textId="77777777" w:rsidR="00A5789C" w:rsidRPr="0064652A" w:rsidRDefault="00A5789C" w:rsidP="00A5789C">
      <w:pPr>
        <w:ind w:left="1769" w:right="1770"/>
        <w:jc w:val="center"/>
        <w:rPr>
          <w:b/>
          <w:sz w:val="23"/>
        </w:rPr>
      </w:pPr>
      <w:r w:rsidRPr="0064652A">
        <w:rPr>
          <w:b/>
          <w:color w:val="231F20"/>
          <w:sz w:val="23"/>
        </w:rPr>
        <w:t>OVERSEAS REGULATORY ANNOUNCEMENT</w:t>
      </w:r>
    </w:p>
    <w:p w14:paraId="23991F97" w14:textId="77777777" w:rsidR="00A5789C" w:rsidRPr="0064652A" w:rsidRDefault="00A5789C" w:rsidP="00A5789C">
      <w:pPr>
        <w:pStyle w:val="a3"/>
        <w:spacing w:before="8"/>
        <w:rPr>
          <w:b/>
          <w:sz w:val="25"/>
        </w:rPr>
      </w:pPr>
    </w:p>
    <w:p w14:paraId="445DA292" w14:textId="77777777" w:rsidR="00A5789C" w:rsidRPr="0064652A" w:rsidRDefault="00A5789C" w:rsidP="00A5789C">
      <w:pPr>
        <w:spacing w:line="242" w:lineRule="auto"/>
        <w:ind w:left="100" w:right="319"/>
        <w:rPr>
          <w:i/>
          <w:sz w:val="23"/>
        </w:rPr>
      </w:pPr>
      <w:r w:rsidRPr="0064652A">
        <w:rPr>
          <w:i/>
          <w:color w:val="231F20"/>
          <w:sz w:val="23"/>
        </w:rPr>
        <w:t>(This overseas regulatory announcement is issued pursuant to Rule 13.10B of the Rules Governing the Listing of Securities on The Stock Exchange of Hong Kong Limited)</w:t>
      </w:r>
    </w:p>
    <w:p w14:paraId="57329627" w14:textId="77777777" w:rsidR="00A5789C" w:rsidRPr="0064652A" w:rsidRDefault="00A5789C" w:rsidP="00A5789C">
      <w:pPr>
        <w:pStyle w:val="a3"/>
        <w:spacing w:before="6"/>
        <w:rPr>
          <w:i/>
          <w:sz w:val="23"/>
        </w:rPr>
      </w:pPr>
    </w:p>
    <w:p w14:paraId="4AB72B36" w14:textId="77777777" w:rsidR="00A5789C" w:rsidRPr="0064652A" w:rsidRDefault="00A5789C" w:rsidP="00A5789C">
      <w:pPr>
        <w:spacing w:line="242" w:lineRule="auto"/>
        <w:ind w:left="100" w:right="100"/>
        <w:jc w:val="both"/>
        <w:rPr>
          <w:sz w:val="23"/>
        </w:rPr>
      </w:pPr>
      <w:r w:rsidRPr="0064652A">
        <w:rPr>
          <w:color w:val="231F20"/>
          <w:sz w:val="23"/>
        </w:rPr>
        <w:t xml:space="preserve">Please refer to the attached announcement (Form 10-Q: Quarterly Report for the quarterly period ended 31 December 2023) filed by Emerson Radio Corp., a 72.4% owned subsidiary of Nimble Holdings Company Limited, having its shares listed on the NYSE American of the United States of America (formerly NYSE MKT of the United States of America), on </w:t>
      </w:r>
      <w:r w:rsidRPr="0064652A">
        <w:rPr>
          <w:rFonts w:hint="eastAsia"/>
          <w:color w:val="231F20"/>
          <w:sz w:val="23"/>
        </w:rPr>
        <w:t>20</w:t>
      </w:r>
      <w:r w:rsidRPr="0064652A">
        <w:rPr>
          <w:color w:val="231F20"/>
          <w:sz w:val="23"/>
        </w:rPr>
        <w:t xml:space="preserve"> February 2024 its quarterly results for the period ended 31 December 2023.</w:t>
      </w:r>
    </w:p>
    <w:p w14:paraId="700196AC" w14:textId="77777777" w:rsidR="00A5789C" w:rsidRPr="0064652A" w:rsidRDefault="00A5789C" w:rsidP="00A5789C">
      <w:pPr>
        <w:pStyle w:val="a3"/>
        <w:rPr>
          <w:sz w:val="26"/>
        </w:rPr>
      </w:pPr>
    </w:p>
    <w:p w14:paraId="07FE3F72" w14:textId="77777777" w:rsidR="00A5789C" w:rsidRPr="0064652A" w:rsidRDefault="00A5789C" w:rsidP="00A5789C">
      <w:pPr>
        <w:pStyle w:val="a3"/>
        <w:rPr>
          <w:sz w:val="26"/>
        </w:rPr>
      </w:pPr>
    </w:p>
    <w:p w14:paraId="3FD4AEBD" w14:textId="77777777" w:rsidR="00A5789C" w:rsidRPr="0064652A" w:rsidRDefault="00A5789C" w:rsidP="00A5789C">
      <w:pPr>
        <w:pStyle w:val="a3"/>
        <w:rPr>
          <w:sz w:val="26"/>
        </w:rPr>
      </w:pPr>
    </w:p>
    <w:p w14:paraId="5D405696" w14:textId="77777777" w:rsidR="00A5789C" w:rsidRPr="0064652A" w:rsidRDefault="00A5789C" w:rsidP="00A5789C">
      <w:pPr>
        <w:pStyle w:val="a3"/>
        <w:rPr>
          <w:sz w:val="26"/>
        </w:rPr>
      </w:pPr>
    </w:p>
    <w:p w14:paraId="08468EBD" w14:textId="77777777" w:rsidR="00A5789C" w:rsidRPr="0064652A" w:rsidRDefault="00A5789C" w:rsidP="00A5789C">
      <w:pPr>
        <w:spacing w:before="169"/>
        <w:ind w:left="6106"/>
        <w:rPr>
          <w:sz w:val="23"/>
        </w:rPr>
      </w:pPr>
      <w:r w:rsidRPr="0064652A">
        <w:rPr>
          <w:color w:val="231F20"/>
          <w:sz w:val="23"/>
        </w:rPr>
        <w:t>By order of the Board</w:t>
      </w:r>
    </w:p>
    <w:p w14:paraId="15DE9EC3" w14:textId="77777777" w:rsidR="00A5789C" w:rsidRPr="0064652A" w:rsidRDefault="00A5789C" w:rsidP="00A5789C">
      <w:pPr>
        <w:spacing w:before="5" w:line="242" w:lineRule="auto"/>
        <w:ind w:left="5391" w:right="1770"/>
        <w:jc w:val="center"/>
        <w:rPr>
          <w:b/>
          <w:sz w:val="23"/>
        </w:rPr>
      </w:pPr>
      <w:r w:rsidRPr="0064652A">
        <w:rPr>
          <w:b/>
          <w:color w:val="231F20"/>
          <w:sz w:val="23"/>
        </w:rPr>
        <w:t xml:space="preserve">Nimble Holdings Company Limited Tan </w:t>
      </w:r>
      <w:proofErr w:type="spellStart"/>
      <w:r w:rsidRPr="0064652A">
        <w:rPr>
          <w:b/>
          <w:color w:val="231F20"/>
          <w:sz w:val="23"/>
        </w:rPr>
        <w:t>Bingzhao</w:t>
      </w:r>
      <w:proofErr w:type="spellEnd"/>
    </w:p>
    <w:p w14:paraId="187D57DD" w14:textId="77777777" w:rsidR="00A5789C" w:rsidRPr="0064652A" w:rsidRDefault="00A5789C" w:rsidP="00A5789C">
      <w:pPr>
        <w:spacing w:before="2"/>
        <w:ind w:left="5214" w:right="1770"/>
        <w:jc w:val="center"/>
        <w:rPr>
          <w:i/>
          <w:sz w:val="23"/>
        </w:rPr>
      </w:pPr>
      <w:r w:rsidRPr="0064652A">
        <w:rPr>
          <w:i/>
          <w:color w:val="231F20"/>
          <w:sz w:val="23"/>
        </w:rPr>
        <w:t>Chairman</w:t>
      </w:r>
    </w:p>
    <w:p w14:paraId="1BA07588" w14:textId="77777777" w:rsidR="00A5789C" w:rsidRPr="0064652A" w:rsidRDefault="00A5789C" w:rsidP="00A5789C">
      <w:pPr>
        <w:pStyle w:val="a3"/>
        <w:rPr>
          <w:i/>
          <w:sz w:val="26"/>
        </w:rPr>
      </w:pPr>
    </w:p>
    <w:p w14:paraId="75C99761" w14:textId="77777777" w:rsidR="00A5789C" w:rsidRPr="0064652A" w:rsidRDefault="00A5789C" w:rsidP="00A5789C">
      <w:pPr>
        <w:pStyle w:val="a3"/>
        <w:rPr>
          <w:i/>
          <w:sz w:val="26"/>
        </w:rPr>
      </w:pPr>
    </w:p>
    <w:p w14:paraId="51C14E30" w14:textId="77777777" w:rsidR="00A5789C" w:rsidRPr="0064652A" w:rsidRDefault="00A5789C" w:rsidP="00A5789C">
      <w:pPr>
        <w:pStyle w:val="a3"/>
        <w:rPr>
          <w:i/>
          <w:sz w:val="26"/>
        </w:rPr>
      </w:pPr>
    </w:p>
    <w:p w14:paraId="7FE15B47" w14:textId="77777777" w:rsidR="00A5789C" w:rsidRPr="0064652A" w:rsidRDefault="00A5789C" w:rsidP="00A5789C">
      <w:pPr>
        <w:spacing w:before="180"/>
        <w:ind w:left="100"/>
        <w:rPr>
          <w:sz w:val="23"/>
        </w:rPr>
      </w:pPr>
      <w:r w:rsidRPr="0064652A">
        <w:rPr>
          <w:color w:val="231F20"/>
          <w:sz w:val="23"/>
        </w:rPr>
        <w:t>Hong Kong, 21 February 2024</w:t>
      </w:r>
    </w:p>
    <w:p w14:paraId="0377BCD1" w14:textId="77777777" w:rsidR="00A5789C" w:rsidRPr="0064652A" w:rsidRDefault="00A5789C" w:rsidP="00A5789C">
      <w:pPr>
        <w:pStyle w:val="a3"/>
        <w:rPr>
          <w:sz w:val="26"/>
        </w:rPr>
      </w:pPr>
    </w:p>
    <w:p w14:paraId="23934185" w14:textId="77777777" w:rsidR="00A5789C" w:rsidRPr="0064652A" w:rsidRDefault="00A5789C" w:rsidP="00A5789C">
      <w:pPr>
        <w:pStyle w:val="a3"/>
        <w:rPr>
          <w:sz w:val="26"/>
        </w:rPr>
      </w:pPr>
    </w:p>
    <w:p w14:paraId="63454981" w14:textId="77777777" w:rsidR="00A5789C" w:rsidRPr="0064652A" w:rsidRDefault="00A5789C" w:rsidP="00A5789C">
      <w:pPr>
        <w:pStyle w:val="a3"/>
        <w:rPr>
          <w:sz w:val="34"/>
        </w:rPr>
      </w:pPr>
    </w:p>
    <w:p w14:paraId="7421D0EC" w14:textId="77777777" w:rsidR="00A5789C" w:rsidRPr="0064652A" w:rsidRDefault="00A5789C" w:rsidP="00A5789C">
      <w:pPr>
        <w:spacing w:line="242" w:lineRule="auto"/>
        <w:ind w:left="100" w:right="101"/>
        <w:jc w:val="both"/>
        <w:rPr>
          <w:i/>
        </w:rPr>
      </w:pPr>
      <w:r w:rsidRPr="0064652A">
        <w:rPr>
          <w:i/>
          <w:color w:val="231F20"/>
          <w:sz w:val="23"/>
        </w:rPr>
        <w:t xml:space="preserve">As at the date of this announcement, the board comprises four executive directors, namely, Mr. Tan </w:t>
      </w:r>
      <w:proofErr w:type="spellStart"/>
      <w:proofErr w:type="gramStart"/>
      <w:r w:rsidRPr="0064652A">
        <w:rPr>
          <w:i/>
          <w:color w:val="231F20"/>
          <w:sz w:val="23"/>
        </w:rPr>
        <w:t>Bingzhao</w:t>
      </w:r>
      <w:proofErr w:type="spellEnd"/>
      <w:r w:rsidRPr="0064652A">
        <w:rPr>
          <w:i/>
          <w:color w:val="231F20"/>
          <w:sz w:val="23"/>
        </w:rPr>
        <w:t xml:space="preserve"> ,</w:t>
      </w:r>
      <w:proofErr w:type="gramEnd"/>
      <w:r w:rsidRPr="0064652A">
        <w:rPr>
          <w:i/>
          <w:color w:val="231F20"/>
          <w:sz w:val="23"/>
        </w:rPr>
        <w:t xml:space="preserve"> Mr. Deng </w:t>
      </w:r>
      <w:proofErr w:type="spellStart"/>
      <w:r w:rsidRPr="0064652A">
        <w:rPr>
          <w:i/>
          <w:color w:val="231F20"/>
          <w:sz w:val="23"/>
        </w:rPr>
        <w:t>Xiangping</w:t>
      </w:r>
      <w:proofErr w:type="spellEnd"/>
      <w:r w:rsidRPr="0064652A">
        <w:rPr>
          <w:i/>
          <w:color w:val="231F20"/>
          <w:sz w:val="23"/>
        </w:rPr>
        <w:t xml:space="preserve">, Mr. Yan </w:t>
      </w:r>
      <w:proofErr w:type="spellStart"/>
      <w:r w:rsidRPr="0064652A">
        <w:rPr>
          <w:i/>
          <w:color w:val="231F20"/>
          <w:sz w:val="23"/>
        </w:rPr>
        <w:t>Guohao</w:t>
      </w:r>
      <w:proofErr w:type="spellEnd"/>
      <w:r w:rsidRPr="0064652A">
        <w:rPr>
          <w:i/>
          <w:color w:val="231F20"/>
          <w:sz w:val="23"/>
        </w:rPr>
        <w:t xml:space="preserve"> and Mrs. Liang </w:t>
      </w:r>
      <w:proofErr w:type="spellStart"/>
      <w:r w:rsidRPr="0064652A">
        <w:rPr>
          <w:i/>
          <w:color w:val="231F20"/>
          <w:sz w:val="23"/>
        </w:rPr>
        <w:t>Minling</w:t>
      </w:r>
      <w:proofErr w:type="spellEnd"/>
      <w:r w:rsidRPr="0064652A">
        <w:rPr>
          <w:i/>
          <w:color w:val="231F20"/>
          <w:sz w:val="23"/>
        </w:rPr>
        <w:t xml:space="preserve">; and three independent non-executive directors, namely, Dr. Lin </w:t>
      </w:r>
      <w:proofErr w:type="spellStart"/>
      <w:r w:rsidRPr="0064652A">
        <w:rPr>
          <w:i/>
          <w:color w:val="231F20"/>
          <w:sz w:val="23"/>
        </w:rPr>
        <w:t>Jinying</w:t>
      </w:r>
      <w:proofErr w:type="spellEnd"/>
      <w:r w:rsidRPr="0064652A">
        <w:rPr>
          <w:i/>
          <w:color w:val="231F20"/>
          <w:sz w:val="23"/>
        </w:rPr>
        <w:t xml:space="preserve">, Dr. Lu </w:t>
      </w:r>
      <w:proofErr w:type="spellStart"/>
      <w:r w:rsidRPr="0064652A">
        <w:rPr>
          <w:i/>
          <w:color w:val="231F20"/>
          <w:sz w:val="23"/>
        </w:rPr>
        <w:t>Zhenghua</w:t>
      </w:r>
      <w:proofErr w:type="spellEnd"/>
      <w:r w:rsidRPr="0064652A">
        <w:rPr>
          <w:i/>
          <w:color w:val="231F20"/>
          <w:sz w:val="23"/>
        </w:rPr>
        <w:t xml:space="preserve"> and Dr. Ye </w:t>
      </w:r>
      <w:proofErr w:type="spellStart"/>
      <w:r w:rsidRPr="0064652A">
        <w:rPr>
          <w:i/>
          <w:color w:val="231F20"/>
          <w:sz w:val="23"/>
        </w:rPr>
        <w:t>Hengqing</w:t>
      </w:r>
      <w:proofErr w:type="spellEnd"/>
      <w:r w:rsidRPr="0064652A">
        <w:rPr>
          <w:i/>
          <w:color w:val="231F20"/>
          <w:sz w:val="23"/>
        </w:rPr>
        <w:t>.</w:t>
      </w:r>
    </w:p>
    <w:p w14:paraId="374F1451" w14:textId="5058DFA0" w:rsidR="00A5789C" w:rsidRPr="0064652A" w:rsidRDefault="00A5789C">
      <w:pPr>
        <w:rPr>
          <w:sz w:val="20"/>
          <w:szCs w:val="20"/>
        </w:rPr>
      </w:pPr>
    </w:p>
    <w:p w14:paraId="2CB660BD" w14:textId="718285AC" w:rsidR="00C820B8" w:rsidRPr="0064652A" w:rsidRDefault="008D7FC6">
      <w:pPr>
        <w:rPr>
          <w:sz w:val="20"/>
          <w:szCs w:val="20"/>
        </w:rPr>
      </w:pPr>
      <w:r w:rsidRPr="0064652A">
        <w:rPr>
          <w:sz w:val="20"/>
          <w:szCs w:val="20"/>
        </w:rPr>
        <w:t> </w:t>
      </w:r>
    </w:p>
    <w:p w14:paraId="6BA9F472" w14:textId="77777777" w:rsidR="00C820B8" w:rsidRPr="0064652A" w:rsidRDefault="008D7FC6">
      <w:r w:rsidRPr="0064652A">
        <w:t> </w:t>
      </w:r>
    </w:p>
    <w:p w14:paraId="7213A5AF" w14:textId="77777777" w:rsidR="00C820B8" w:rsidRPr="0064652A" w:rsidRDefault="008D7FC6">
      <w:pPr>
        <w:rPr>
          <w:sz w:val="20"/>
          <w:szCs w:val="20"/>
        </w:rPr>
      </w:pPr>
      <w:r w:rsidRPr="0064652A">
        <w:rPr>
          <w:sz w:val="20"/>
          <w:szCs w:val="20"/>
        </w:rPr>
        <w:t> </w:t>
      </w:r>
    </w:p>
    <w:p w14:paraId="04E4808F" w14:textId="77777777" w:rsidR="00A5789C" w:rsidRPr="0064652A" w:rsidRDefault="00A5789C">
      <w:pPr>
        <w:rPr>
          <w:sz w:val="20"/>
          <w:szCs w:val="20"/>
        </w:rPr>
      </w:pPr>
      <w:r w:rsidRPr="0064652A">
        <w:rPr>
          <w:sz w:val="20"/>
          <w:szCs w:val="20"/>
        </w:rPr>
        <w:br w:type="page"/>
      </w:r>
    </w:p>
    <w:p w14:paraId="76C8168B" w14:textId="2D71E17F" w:rsidR="00C820B8" w:rsidRPr="0064652A" w:rsidRDefault="008D7FC6">
      <w:pPr>
        <w:rPr>
          <w:sz w:val="20"/>
          <w:szCs w:val="20"/>
        </w:rPr>
      </w:pPr>
      <w:r w:rsidRPr="0064652A">
        <w:rPr>
          <w:sz w:val="20"/>
          <w:szCs w:val="20"/>
        </w:rPr>
        <w:lastRenderedPageBreak/>
        <w:t> </w:t>
      </w:r>
    </w:p>
    <w:p w14:paraId="7515C8F4" w14:textId="77777777" w:rsidR="00C820B8" w:rsidRPr="0064652A" w:rsidRDefault="00000000">
      <w:pPr>
        <w:rPr>
          <w:sz w:val="48"/>
          <w:szCs w:val="48"/>
        </w:rPr>
      </w:pPr>
      <w:hyperlink w:anchor="toc" w:history="1">
        <w:r w:rsidR="008D7FC6" w:rsidRPr="0064652A">
          <w:rPr>
            <w:color w:val="0000EE"/>
            <w:sz w:val="18"/>
            <w:szCs w:val="18"/>
            <w:u w:val="single" w:color="0000EE"/>
          </w:rPr>
          <w:t>Table of Contents</w:t>
        </w:r>
      </w:hyperlink>
    </w:p>
    <w:p w14:paraId="5FCB3F96" w14:textId="77777777" w:rsidR="00C820B8" w:rsidRPr="0064652A" w:rsidRDefault="00000000">
      <w:pPr>
        <w:spacing w:before="60" w:after="60"/>
        <w:rPr>
          <w:color w:val="000000"/>
        </w:rPr>
      </w:pPr>
      <w:r w:rsidRPr="0064652A">
        <w:pict w14:anchorId="6323F97C">
          <v:rect id="_x0000_i1025" style="width:468pt;height:2.25pt" o:hrstd="t" o:hrnoshade="t" o:hr="t" fillcolor="black" stroked="f">
            <v:path strokeok="f"/>
          </v:rect>
        </w:pict>
      </w:r>
    </w:p>
    <w:p w14:paraId="13533C94" w14:textId="77777777" w:rsidR="00C820B8" w:rsidRPr="0064652A" w:rsidRDefault="00000000">
      <w:pPr>
        <w:spacing w:after="60"/>
        <w:rPr>
          <w:color w:val="000000"/>
        </w:rPr>
      </w:pPr>
      <w:r w:rsidRPr="0064652A">
        <w:pict w14:anchorId="7626FEC8">
          <v:rect id="_x0000_i1026" style="width:468pt;height:.75pt" o:hrstd="t" o:hrnoshade="t" o:hr="t" fillcolor="black" stroked="f">
            <v:path strokeok="f"/>
          </v:rect>
        </w:pict>
      </w:r>
    </w:p>
    <w:p w14:paraId="7B47C07F" w14:textId="77777777" w:rsidR="00C820B8" w:rsidRPr="0064652A" w:rsidRDefault="008D7FC6">
      <w:pPr>
        <w:jc w:val="center"/>
        <w:rPr>
          <w:sz w:val="28"/>
          <w:szCs w:val="28"/>
        </w:rPr>
      </w:pPr>
      <w:r w:rsidRPr="0064652A">
        <w:rPr>
          <w:b/>
          <w:bCs/>
          <w:sz w:val="28"/>
          <w:szCs w:val="28"/>
        </w:rPr>
        <w:t>UNITED STATES</w:t>
      </w:r>
    </w:p>
    <w:p w14:paraId="0AB0B3F6" w14:textId="77777777" w:rsidR="00C820B8" w:rsidRPr="0064652A" w:rsidRDefault="008D7FC6">
      <w:pPr>
        <w:jc w:val="center"/>
        <w:rPr>
          <w:sz w:val="28"/>
          <w:szCs w:val="28"/>
        </w:rPr>
      </w:pPr>
      <w:r w:rsidRPr="0064652A">
        <w:rPr>
          <w:b/>
          <w:bCs/>
          <w:sz w:val="28"/>
          <w:szCs w:val="28"/>
        </w:rPr>
        <w:t>SECURITIES AND EXCHANGE COMMISSION</w:t>
      </w:r>
    </w:p>
    <w:p w14:paraId="37F4A688" w14:textId="77777777" w:rsidR="00C820B8" w:rsidRPr="0064652A" w:rsidRDefault="008D7FC6">
      <w:pPr>
        <w:jc w:val="center"/>
      </w:pPr>
      <w:r w:rsidRPr="0064652A">
        <w:rPr>
          <w:b/>
          <w:bCs/>
        </w:rPr>
        <w:t>Washington, D.C. 20549</w:t>
      </w:r>
    </w:p>
    <w:p w14:paraId="3FA571CB" w14:textId="77777777" w:rsidR="00C820B8" w:rsidRPr="0064652A" w:rsidRDefault="00000000">
      <w:pPr>
        <w:spacing w:before="120" w:after="120"/>
        <w:jc w:val="center"/>
        <w:rPr>
          <w:color w:val="000000"/>
        </w:rPr>
      </w:pPr>
      <w:r w:rsidRPr="0064652A">
        <w:pict w14:anchorId="51093EB5">
          <v:rect id="_x0000_i1027" style="width:117pt;height:.75pt" o:hrpct="250" o:hralign="center" o:hrstd="t" o:hrnoshade="t" o:hr="t" fillcolor="black" stroked="f">
            <v:path strokeok="f"/>
          </v:rect>
        </w:pict>
      </w:r>
    </w:p>
    <w:p w14:paraId="490B500A" w14:textId="77777777" w:rsidR="00C820B8" w:rsidRPr="0064652A" w:rsidRDefault="008D7FC6">
      <w:pPr>
        <w:jc w:val="center"/>
        <w:rPr>
          <w:sz w:val="32"/>
          <w:szCs w:val="32"/>
        </w:rPr>
      </w:pPr>
      <w:r w:rsidRPr="0064652A">
        <w:rPr>
          <w:b/>
          <w:bCs/>
          <w:sz w:val="32"/>
          <w:szCs w:val="32"/>
        </w:rPr>
        <w:t>FORM 10-Q</w:t>
      </w:r>
    </w:p>
    <w:p w14:paraId="520A5A8F" w14:textId="77777777" w:rsidR="00C820B8" w:rsidRPr="0064652A" w:rsidRDefault="00000000">
      <w:pPr>
        <w:spacing w:before="120" w:after="120"/>
        <w:jc w:val="center"/>
        <w:rPr>
          <w:color w:val="000000"/>
        </w:rPr>
      </w:pPr>
      <w:r w:rsidRPr="0064652A">
        <w:pict w14:anchorId="6AB78FED">
          <v:rect id="_x0000_i1028" style="width:117pt;height:.75pt" o:hrpct="250" o:hralign="center" o:hrstd="t" o:hrnoshade="t" o:hr="t" fillcolor="black" stroked="f">
            <v:path strokeok="f"/>
          </v:rect>
        </w:pict>
      </w:r>
    </w:p>
    <w:p w14:paraId="7241125D" w14:textId="77777777" w:rsidR="00C820B8" w:rsidRPr="0064652A" w:rsidRDefault="008D7FC6">
      <w:pPr>
        <w:rPr>
          <w:sz w:val="20"/>
          <w:szCs w:val="20"/>
        </w:rPr>
      </w:pPr>
      <w:r w:rsidRPr="0064652A">
        <w:rPr>
          <w:sz w:val="20"/>
          <w:szCs w:val="20"/>
        </w:rPr>
        <w:t> </w:t>
      </w:r>
    </w:p>
    <w:p w14:paraId="456A61A3" w14:textId="77777777" w:rsidR="00C820B8" w:rsidRPr="0064652A" w:rsidRDefault="008D7FC6">
      <w:pPr>
        <w:rPr>
          <w:sz w:val="20"/>
          <w:szCs w:val="20"/>
        </w:rPr>
      </w:pPr>
      <w:r w:rsidRPr="0064652A">
        <w:rPr>
          <w:b/>
          <w:bCs/>
          <w:sz w:val="20"/>
          <w:szCs w:val="20"/>
        </w:rPr>
        <w:t>(Mark One)</w:t>
      </w:r>
    </w:p>
    <w:tbl>
      <w:tblPr>
        <w:tblW w:w="5000" w:type="pct"/>
        <w:tblInd w:w="5" w:type="dxa"/>
        <w:tblCellMar>
          <w:left w:w="0" w:type="dxa"/>
          <w:right w:w="0" w:type="dxa"/>
        </w:tblCellMar>
        <w:tblLook w:val="04A0" w:firstRow="1" w:lastRow="0" w:firstColumn="1" w:lastColumn="0" w:noHBand="0" w:noVBand="1"/>
      </w:tblPr>
      <w:tblGrid>
        <w:gridCol w:w="360"/>
        <w:gridCol w:w="10440"/>
      </w:tblGrid>
      <w:tr w:rsidR="00C820B8" w:rsidRPr="0064652A" w14:paraId="74C1476C" w14:textId="77777777">
        <w:tc>
          <w:tcPr>
            <w:tcW w:w="360" w:type="dxa"/>
            <w:tcMar>
              <w:top w:w="5" w:type="dxa"/>
              <w:left w:w="5" w:type="dxa"/>
              <w:bottom w:w="5" w:type="dxa"/>
              <w:right w:w="5" w:type="dxa"/>
            </w:tcMar>
            <w:hideMark/>
          </w:tcPr>
          <w:p w14:paraId="1D307AC4" w14:textId="77777777" w:rsidR="00C820B8" w:rsidRPr="0064652A" w:rsidRDefault="008D7FC6">
            <w:pPr>
              <w:rPr>
                <w:color w:val="000000"/>
              </w:rPr>
            </w:pPr>
            <w:r w:rsidRPr="0064652A">
              <w:rPr>
                <w:rFonts w:ascii="Segoe UI Symbol" w:eastAsia="Segoe UI Symbol" w:hAnsi="Segoe UI Symbol" w:cs="Segoe UI Symbol"/>
                <w:color w:val="000000"/>
              </w:rPr>
              <w:t>☒</w:t>
            </w:r>
          </w:p>
        </w:tc>
        <w:tc>
          <w:tcPr>
            <w:tcW w:w="0" w:type="auto"/>
            <w:tcMar>
              <w:top w:w="5" w:type="dxa"/>
              <w:left w:w="5" w:type="dxa"/>
              <w:bottom w:w="5" w:type="dxa"/>
              <w:right w:w="5" w:type="dxa"/>
            </w:tcMar>
            <w:hideMark/>
          </w:tcPr>
          <w:p w14:paraId="67E26ECB" w14:textId="77777777" w:rsidR="00C820B8" w:rsidRPr="0064652A" w:rsidRDefault="008D7FC6">
            <w:pPr>
              <w:rPr>
                <w:color w:val="000000"/>
              </w:rPr>
            </w:pPr>
            <w:r w:rsidRPr="0064652A">
              <w:rPr>
                <w:b/>
                <w:bCs/>
                <w:color w:val="000000"/>
              </w:rPr>
              <w:t>QUARTERLY REPORT PURSUANT TO SECTION 13 OR 15(d) OF THE SECURITIES EXCHANGE ACT OF 1934</w:t>
            </w:r>
          </w:p>
        </w:tc>
      </w:tr>
    </w:tbl>
    <w:p w14:paraId="35DDE6BB" w14:textId="77777777" w:rsidR="00C820B8" w:rsidRPr="0064652A" w:rsidRDefault="008D7FC6">
      <w:pPr>
        <w:rPr>
          <w:sz w:val="12"/>
          <w:szCs w:val="12"/>
        </w:rPr>
      </w:pPr>
      <w:r w:rsidRPr="0064652A">
        <w:rPr>
          <w:sz w:val="12"/>
          <w:szCs w:val="12"/>
        </w:rPr>
        <w:t> </w:t>
      </w:r>
    </w:p>
    <w:p w14:paraId="1CE96E60" w14:textId="77777777" w:rsidR="00C820B8" w:rsidRPr="0064652A" w:rsidRDefault="008D7FC6">
      <w:pPr>
        <w:jc w:val="center"/>
        <w:rPr>
          <w:sz w:val="20"/>
          <w:szCs w:val="20"/>
        </w:rPr>
      </w:pPr>
      <w:r w:rsidRPr="0064652A">
        <w:rPr>
          <w:b/>
          <w:bCs/>
          <w:sz w:val="20"/>
          <w:szCs w:val="20"/>
        </w:rPr>
        <w:t xml:space="preserve">For the quarterly period ended </w:t>
      </w:r>
      <w:bookmarkStart w:id="1" w:name="led288631F2022881662677883200"/>
      <w:r w:rsidRPr="0064652A">
        <w:rPr>
          <w:b/>
          <w:bCs/>
          <w:sz w:val="20"/>
          <w:szCs w:val="20"/>
        </w:rPr>
        <w:t>December 31, 2023</w:t>
      </w:r>
      <w:bookmarkEnd w:id="1"/>
    </w:p>
    <w:p w14:paraId="423C1591" w14:textId="77777777" w:rsidR="00C820B8" w:rsidRPr="0064652A" w:rsidRDefault="008D7FC6">
      <w:pPr>
        <w:rPr>
          <w:sz w:val="12"/>
          <w:szCs w:val="12"/>
        </w:rPr>
      </w:pPr>
      <w:r w:rsidRPr="0064652A">
        <w:rPr>
          <w:sz w:val="12"/>
          <w:szCs w:val="12"/>
        </w:rPr>
        <w:t> </w:t>
      </w:r>
    </w:p>
    <w:p w14:paraId="16143A77" w14:textId="77777777" w:rsidR="00C820B8" w:rsidRPr="0064652A" w:rsidRDefault="008D7FC6">
      <w:pPr>
        <w:jc w:val="center"/>
        <w:rPr>
          <w:sz w:val="20"/>
          <w:szCs w:val="20"/>
        </w:rPr>
      </w:pPr>
      <w:r w:rsidRPr="0064652A">
        <w:rPr>
          <w:b/>
          <w:bCs/>
          <w:sz w:val="20"/>
          <w:szCs w:val="20"/>
        </w:rPr>
        <w:t>Or</w:t>
      </w:r>
    </w:p>
    <w:p w14:paraId="21139217" w14:textId="77777777" w:rsidR="00C820B8" w:rsidRPr="0064652A" w:rsidRDefault="008D7FC6">
      <w:pPr>
        <w:rPr>
          <w:sz w:val="12"/>
          <w:szCs w:val="12"/>
        </w:rPr>
      </w:pPr>
      <w:r w:rsidRPr="0064652A">
        <w:rPr>
          <w:sz w:val="12"/>
          <w:szCs w:val="12"/>
        </w:rPr>
        <w:t> </w:t>
      </w:r>
    </w:p>
    <w:tbl>
      <w:tblPr>
        <w:tblW w:w="5000" w:type="pct"/>
        <w:tblInd w:w="5" w:type="dxa"/>
        <w:tblCellMar>
          <w:left w:w="0" w:type="dxa"/>
          <w:right w:w="0" w:type="dxa"/>
        </w:tblCellMar>
        <w:tblLook w:val="04A0" w:firstRow="1" w:lastRow="0" w:firstColumn="1" w:lastColumn="0" w:noHBand="0" w:noVBand="1"/>
      </w:tblPr>
      <w:tblGrid>
        <w:gridCol w:w="360"/>
        <w:gridCol w:w="10440"/>
      </w:tblGrid>
      <w:tr w:rsidR="00C820B8" w:rsidRPr="0064652A" w14:paraId="5053A1D1" w14:textId="77777777">
        <w:tc>
          <w:tcPr>
            <w:tcW w:w="360" w:type="dxa"/>
            <w:tcMar>
              <w:top w:w="5" w:type="dxa"/>
              <w:left w:w="5" w:type="dxa"/>
              <w:bottom w:w="5" w:type="dxa"/>
              <w:right w:w="5" w:type="dxa"/>
            </w:tcMar>
            <w:hideMark/>
          </w:tcPr>
          <w:p w14:paraId="06D8524D" w14:textId="77777777" w:rsidR="00C820B8" w:rsidRPr="0064652A" w:rsidRDefault="008D7FC6">
            <w:pPr>
              <w:rPr>
                <w:color w:val="000000"/>
              </w:rPr>
            </w:pPr>
            <w:r w:rsidRPr="0064652A">
              <w:rPr>
                <w:rFonts w:ascii="Segoe UI Symbol" w:eastAsia="Segoe UI Symbol" w:hAnsi="Segoe UI Symbol" w:cs="Segoe UI Symbol"/>
                <w:color w:val="000000"/>
              </w:rPr>
              <w:t>☐</w:t>
            </w:r>
          </w:p>
        </w:tc>
        <w:tc>
          <w:tcPr>
            <w:tcW w:w="0" w:type="auto"/>
            <w:tcMar>
              <w:top w:w="5" w:type="dxa"/>
              <w:left w:w="5" w:type="dxa"/>
              <w:bottom w:w="5" w:type="dxa"/>
              <w:right w:w="5" w:type="dxa"/>
            </w:tcMar>
            <w:hideMark/>
          </w:tcPr>
          <w:p w14:paraId="33DA1490" w14:textId="77777777" w:rsidR="00C820B8" w:rsidRPr="0064652A" w:rsidRDefault="008D7FC6">
            <w:pPr>
              <w:rPr>
                <w:color w:val="000000"/>
              </w:rPr>
            </w:pPr>
            <w:r w:rsidRPr="0064652A">
              <w:rPr>
                <w:b/>
                <w:bCs/>
                <w:color w:val="000000"/>
              </w:rPr>
              <w:t>TRANSITION REPORT PURSUANT TO SECTION 13 OR 15(d) OF THE SECURITIES EXCHANGE ACT OF 1934</w:t>
            </w:r>
          </w:p>
        </w:tc>
      </w:tr>
    </w:tbl>
    <w:p w14:paraId="3373B009" w14:textId="77777777" w:rsidR="00C820B8" w:rsidRPr="0064652A" w:rsidRDefault="008D7FC6">
      <w:pPr>
        <w:rPr>
          <w:sz w:val="12"/>
          <w:szCs w:val="12"/>
        </w:rPr>
      </w:pPr>
      <w:r w:rsidRPr="0064652A">
        <w:rPr>
          <w:sz w:val="12"/>
          <w:szCs w:val="12"/>
        </w:rPr>
        <w:t> </w:t>
      </w:r>
    </w:p>
    <w:p w14:paraId="78350C54" w14:textId="77777777" w:rsidR="00C820B8" w:rsidRPr="0064652A" w:rsidRDefault="008D7FC6">
      <w:pPr>
        <w:jc w:val="center"/>
        <w:rPr>
          <w:sz w:val="20"/>
          <w:szCs w:val="20"/>
        </w:rPr>
      </w:pPr>
      <w:r w:rsidRPr="0064652A">
        <w:rPr>
          <w:b/>
          <w:bCs/>
          <w:sz w:val="20"/>
          <w:szCs w:val="20"/>
        </w:rPr>
        <w:t xml:space="preserve">For the transition period from </w:t>
      </w:r>
      <w:r w:rsidRPr="0064652A">
        <w:rPr>
          <w:sz w:val="20"/>
          <w:szCs w:val="20"/>
          <w:u w:val="single"/>
        </w:rPr>
        <w:t>                    </w:t>
      </w:r>
      <w:r w:rsidRPr="0064652A">
        <w:rPr>
          <w:b/>
          <w:bCs/>
          <w:sz w:val="20"/>
          <w:szCs w:val="20"/>
        </w:rPr>
        <w:t xml:space="preserve"> to </w:t>
      </w:r>
      <w:r w:rsidRPr="0064652A">
        <w:rPr>
          <w:sz w:val="20"/>
          <w:szCs w:val="20"/>
          <w:u w:val="single"/>
        </w:rPr>
        <w:t>                    </w:t>
      </w:r>
    </w:p>
    <w:p w14:paraId="2626E229" w14:textId="77777777" w:rsidR="00C820B8" w:rsidRPr="0064652A" w:rsidRDefault="008D7FC6">
      <w:pPr>
        <w:rPr>
          <w:sz w:val="12"/>
          <w:szCs w:val="12"/>
        </w:rPr>
      </w:pPr>
      <w:r w:rsidRPr="0064652A">
        <w:rPr>
          <w:sz w:val="12"/>
          <w:szCs w:val="12"/>
        </w:rPr>
        <w:t> </w:t>
      </w:r>
    </w:p>
    <w:p w14:paraId="3CBF0B3F" w14:textId="77777777" w:rsidR="00C820B8" w:rsidRPr="0064652A" w:rsidRDefault="008D7FC6">
      <w:pPr>
        <w:jc w:val="center"/>
        <w:rPr>
          <w:sz w:val="20"/>
          <w:szCs w:val="20"/>
        </w:rPr>
      </w:pPr>
      <w:r w:rsidRPr="0064652A">
        <w:rPr>
          <w:b/>
          <w:bCs/>
          <w:sz w:val="20"/>
          <w:szCs w:val="20"/>
        </w:rPr>
        <w:t>Commission file number 001-07731</w:t>
      </w:r>
    </w:p>
    <w:p w14:paraId="081F4D40" w14:textId="77777777" w:rsidR="00C820B8" w:rsidRPr="0064652A" w:rsidRDefault="00000000">
      <w:pPr>
        <w:spacing w:before="120" w:after="120"/>
        <w:jc w:val="center"/>
        <w:rPr>
          <w:color w:val="000000"/>
        </w:rPr>
      </w:pPr>
      <w:r w:rsidRPr="0064652A">
        <w:pict w14:anchorId="1F195FB3">
          <v:rect id="_x0000_i1029" style="width:117pt;height:.75pt" o:hrpct="250" o:hralign="center" o:hrstd="t" o:hrnoshade="t" o:hr="t" fillcolor="black" stroked="f">
            <v:path strokeok="f"/>
          </v:rect>
        </w:pict>
      </w:r>
    </w:p>
    <w:p w14:paraId="33E3502A" w14:textId="77777777" w:rsidR="00C820B8" w:rsidRPr="0064652A" w:rsidRDefault="008D7FC6">
      <w:pPr>
        <w:jc w:val="center"/>
        <w:rPr>
          <w:sz w:val="36"/>
          <w:szCs w:val="36"/>
        </w:rPr>
      </w:pPr>
      <w:r w:rsidRPr="0064652A">
        <w:rPr>
          <w:b/>
          <w:bCs/>
          <w:sz w:val="36"/>
          <w:szCs w:val="36"/>
        </w:rPr>
        <w:t>EMERSON RADIO CORP.</w:t>
      </w:r>
    </w:p>
    <w:p w14:paraId="328732C6" w14:textId="77777777" w:rsidR="00C820B8" w:rsidRPr="0064652A" w:rsidRDefault="008D7FC6">
      <w:pPr>
        <w:jc w:val="center"/>
        <w:rPr>
          <w:sz w:val="20"/>
          <w:szCs w:val="20"/>
        </w:rPr>
      </w:pPr>
      <w:r w:rsidRPr="0064652A">
        <w:rPr>
          <w:b/>
          <w:bCs/>
          <w:sz w:val="20"/>
          <w:szCs w:val="20"/>
        </w:rPr>
        <w:t>(Exact name of registrant as specified in its charter)</w:t>
      </w:r>
    </w:p>
    <w:p w14:paraId="07B3B5C4" w14:textId="77777777" w:rsidR="00C820B8" w:rsidRPr="0064652A" w:rsidRDefault="00000000">
      <w:pPr>
        <w:spacing w:before="120" w:after="120"/>
        <w:jc w:val="center"/>
        <w:rPr>
          <w:color w:val="000000"/>
        </w:rPr>
      </w:pPr>
      <w:r w:rsidRPr="0064652A">
        <w:pict w14:anchorId="2B791F62">
          <v:rect id="_x0000_i1030" style="width:117pt;height:.75pt" o:hrpct="250" o:hralign="center" o:hrstd="t" o:hrnoshade="t" o:hr="t" fillcolor="black" stroked="f">
            <v:path strokeok="f"/>
          </v:rect>
        </w:pict>
      </w:r>
    </w:p>
    <w:p w14:paraId="1450DFE5" w14:textId="77777777" w:rsidR="00C820B8" w:rsidRPr="0064652A" w:rsidRDefault="008D7FC6">
      <w:pPr>
        <w:rPr>
          <w:sz w:val="20"/>
          <w:szCs w:val="20"/>
        </w:rPr>
      </w:pPr>
      <w:r w:rsidRPr="0064652A">
        <w:rPr>
          <w:sz w:val="20"/>
          <w:szCs w:val="20"/>
        </w:rPr>
        <w:t> </w:t>
      </w:r>
    </w:p>
    <w:tbl>
      <w:tblPr>
        <w:tblW w:w="5000" w:type="pct"/>
        <w:jc w:val="center"/>
        <w:tblCellMar>
          <w:left w:w="0" w:type="dxa"/>
          <w:right w:w="0" w:type="dxa"/>
        </w:tblCellMar>
        <w:tblLook w:val="04A0" w:firstRow="1" w:lastRow="0" w:firstColumn="1" w:lastColumn="0" w:noHBand="0" w:noVBand="1"/>
      </w:tblPr>
      <w:tblGrid>
        <w:gridCol w:w="5400"/>
        <w:gridCol w:w="5400"/>
      </w:tblGrid>
      <w:tr w:rsidR="00C820B8" w:rsidRPr="0064652A" w14:paraId="1B225F0D" w14:textId="77777777">
        <w:trPr>
          <w:jc w:val="center"/>
        </w:trPr>
        <w:tc>
          <w:tcPr>
            <w:tcW w:w="2500" w:type="pct"/>
            <w:tcMar>
              <w:top w:w="5" w:type="dxa"/>
              <w:left w:w="5" w:type="dxa"/>
              <w:bottom w:w="5" w:type="dxa"/>
              <w:right w:w="5" w:type="dxa"/>
            </w:tcMar>
            <w:hideMark/>
          </w:tcPr>
          <w:p w14:paraId="7DAA16CD" w14:textId="77777777" w:rsidR="00C820B8" w:rsidRPr="0064652A" w:rsidRDefault="008D7FC6">
            <w:pPr>
              <w:jc w:val="center"/>
              <w:rPr>
                <w:color w:val="000000"/>
                <w:sz w:val="20"/>
                <w:szCs w:val="20"/>
              </w:rPr>
            </w:pPr>
            <w:r w:rsidRPr="0064652A">
              <w:rPr>
                <w:b/>
                <w:bCs/>
                <w:color w:val="000000"/>
                <w:sz w:val="20"/>
                <w:szCs w:val="20"/>
              </w:rPr>
              <w:t>Delaware</w:t>
            </w:r>
          </w:p>
        </w:tc>
        <w:tc>
          <w:tcPr>
            <w:tcW w:w="2500" w:type="pct"/>
            <w:tcMar>
              <w:top w:w="5" w:type="dxa"/>
              <w:left w:w="5" w:type="dxa"/>
              <w:bottom w:w="5" w:type="dxa"/>
              <w:right w:w="5" w:type="dxa"/>
            </w:tcMar>
            <w:hideMark/>
          </w:tcPr>
          <w:p w14:paraId="0139A2AC" w14:textId="77777777" w:rsidR="00C820B8" w:rsidRPr="0064652A" w:rsidRDefault="008D7FC6">
            <w:pPr>
              <w:jc w:val="center"/>
              <w:rPr>
                <w:color w:val="000000"/>
                <w:sz w:val="20"/>
                <w:szCs w:val="20"/>
              </w:rPr>
            </w:pPr>
            <w:r w:rsidRPr="0064652A">
              <w:rPr>
                <w:b/>
                <w:bCs/>
                <w:color w:val="000000"/>
                <w:sz w:val="20"/>
                <w:szCs w:val="20"/>
              </w:rPr>
              <w:t>22-3285224</w:t>
            </w:r>
          </w:p>
        </w:tc>
      </w:tr>
      <w:tr w:rsidR="00C820B8" w:rsidRPr="0064652A" w14:paraId="4E611D10" w14:textId="77777777">
        <w:trPr>
          <w:jc w:val="center"/>
        </w:trPr>
        <w:tc>
          <w:tcPr>
            <w:tcW w:w="2500" w:type="pct"/>
            <w:tcMar>
              <w:top w:w="5" w:type="dxa"/>
              <w:left w:w="5" w:type="dxa"/>
              <w:bottom w:w="5" w:type="dxa"/>
              <w:right w:w="5" w:type="dxa"/>
            </w:tcMar>
            <w:hideMark/>
          </w:tcPr>
          <w:p w14:paraId="10A542E7" w14:textId="77777777" w:rsidR="00C820B8" w:rsidRPr="0064652A" w:rsidRDefault="008D7FC6">
            <w:pPr>
              <w:jc w:val="center"/>
              <w:rPr>
                <w:color w:val="000000"/>
                <w:sz w:val="16"/>
                <w:szCs w:val="16"/>
              </w:rPr>
            </w:pPr>
            <w:r w:rsidRPr="0064652A">
              <w:rPr>
                <w:b/>
                <w:bCs/>
                <w:color w:val="000000"/>
                <w:sz w:val="16"/>
                <w:szCs w:val="16"/>
              </w:rPr>
              <w:t>(State or other jurisdiction of</w:t>
            </w:r>
          </w:p>
          <w:p w14:paraId="2F045A58" w14:textId="77777777" w:rsidR="00C820B8" w:rsidRPr="0064652A" w:rsidRDefault="008D7FC6">
            <w:pPr>
              <w:jc w:val="center"/>
              <w:rPr>
                <w:color w:val="000000"/>
                <w:sz w:val="16"/>
                <w:szCs w:val="16"/>
              </w:rPr>
            </w:pPr>
            <w:r w:rsidRPr="0064652A">
              <w:rPr>
                <w:b/>
                <w:bCs/>
                <w:color w:val="000000"/>
                <w:sz w:val="16"/>
                <w:szCs w:val="16"/>
              </w:rPr>
              <w:t>incorporation or organization)</w:t>
            </w:r>
          </w:p>
        </w:tc>
        <w:tc>
          <w:tcPr>
            <w:tcW w:w="2500" w:type="pct"/>
            <w:tcMar>
              <w:top w:w="5" w:type="dxa"/>
              <w:left w:w="5" w:type="dxa"/>
              <w:bottom w:w="5" w:type="dxa"/>
              <w:right w:w="5" w:type="dxa"/>
            </w:tcMar>
            <w:hideMark/>
          </w:tcPr>
          <w:p w14:paraId="550AA990" w14:textId="77777777" w:rsidR="00C820B8" w:rsidRPr="0064652A" w:rsidRDefault="008D7FC6">
            <w:pPr>
              <w:jc w:val="center"/>
              <w:rPr>
                <w:color w:val="000000"/>
                <w:sz w:val="16"/>
                <w:szCs w:val="16"/>
              </w:rPr>
            </w:pPr>
            <w:r w:rsidRPr="0064652A">
              <w:rPr>
                <w:b/>
                <w:bCs/>
                <w:color w:val="000000"/>
                <w:sz w:val="16"/>
                <w:szCs w:val="16"/>
              </w:rPr>
              <w:t>(I.R.S. Employer</w:t>
            </w:r>
          </w:p>
          <w:p w14:paraId="1517D55D" w14:textId="77777777" w:rsidR="00C820B8" w:rsidRPr="0064652A" w:rsidRDefault="008D7FC6">
            <w:pPr>
              <w:jc w:val="center"/>
              <w:rPr>
                <w:color w:val="000000"/>
                <w:sz w:val="16"/>
                <w:szCs w:val="16"/>
              </w:rPr>
            </w:pPr>
            <w:r w:rsidRPr="0064652A">
              <w:rPr>
                <w:b/>
                <w:bCs/>
                <w:color w:val="000000"/>
                <w:sz w:val="16"/>
                <w:szCs w:val="16"/>
              </w:rPr>
              <w:t>Identification No.)</w:t>
            </w:r>
          </w:p>
        </w:tc>
      </w:tr>
      <w:tr w:rsidR="00C820B8" w:rsidRPr="0064652A" w14:paraId="144B5C07" w14:textId="77777777">
        <w:trPr>
          <w:jc w:val="center"/>
        </w:trPr>
        <w:tc>
          <w:tcPr>
            <w:tcW w:w="2500" w:type="pct"/>
            <w:tcMar>
              <w:top w:w="5" w:type="dxa"/>
              <w:left w:w="5" w:type="dxa"/>
              <w:bottom w:w="5" w:type="dxa"/>
              <w:right w:w="5" w:type="dxa"/>
            </w:tcMar>
            <w:vAlign w:val="center"/>
            <w:hideMark/>
          </w:tcPr>
          <w:p w14:paraId="7EA4C534" w14:textId="77777777" w:rsidR="00C820B8" w:rsidRPr="0064652A" w:rsidRDefault="008D7FC6">
            <w:pPr>
              <w:rPr>
                <w:color w:val="000000"/>
                <w:sz w:val="20"/>
                <w:szCs w:val="20"/>
              </w:rPr>
            </w:pPr>
            <w:r w:rsidRPr="0064652A">
              <w:rPr>
                <w:color w:val="000000"/>
                <w:sz w:val="20"/>
                <w:szCs w:val="20"/>
              </w:rPr>
              <w:t> </w:t>
            </w:r>
          </w:p>
        </w:tc>
        <w:tc>
          <w:tcPr>
            <w:tcW w:w="2500" w:type="pct"/>
            <w:tcMar>
              <w:top w:w="5" w:type="dxa"/>
              <w:left w:w="5" w:type="dxa"/>
              <w:bottom w:w="5" w:type="dxa"/>
              <w:right w:w="5" w:type="dxa"/>
            </w:tcMar>
            <w:vAlign w:val="center"/>
            <w:hideMark/>
          </w:tcPr>
          <w:p w14:paraId="122E464B" w14:textId="77777777" w:rsidR="00C820B8" w:rsidRPr="0064652A" w:rsidRDefault="008D7FC6">
            <w:pPr>
              <w:rPr>
                <w:color w:val="000000"/>
                <w:sz w:val="20"/>
                <w:szCs w:val="20"/>
              </w:rPr>
            </w:pPr>
            <w:r w:rsidRPr="0064652A">
              <w:rPr>
                <w:color w:val="000000"/>
                <w:sz w:val="20"/>
                <w:szCs w:val="20"/>
              </w:rPr>
              <w:t> </w:t>
            </w:r>
          </w:p>
        </w:tc>
      </w:tr>
      <w:tr w:rsidR="00C820B8" w:rsidRPr="0064652A" w14:paraId="656655E9" w14:textId="77777777">
        <w:trPr>
          <w:jc w:val="center"/>
        </w:trPr>
        <w:tc>
          <w:tcPr>
            <w:tcW w:w="2500" w:type="pct"/>
            <w:tcMar>
              <w:top w:w="5" w:type="dxa"/>
              <w:left w:w="5" w:type="dxa"/>
              <w:bottom w:w="5" w:type="dxa"/>
              <w:right w:w="5" w:type="dxa"/>
            </w:tcMar>
            <w:hideMark/>
          </w:tcPr>
          <w:p w14:paraId="2A163589" w14:textId="77777777" w:rsidR="00C820B8" w:rsidRPr="0064652A" w:rsidRDefault="008D7FC6">
            <w:pPr>
              <w:jc w:val="center"/>
              <w:rPr>
                <w:color w:val="000000"/>
                <w:sz w:val="20"/>
                <w:szCs w:val="20"/>
              </w:rPr>
            </w:pPr>
            <w:r w:rsidRPr="0064652A">
              <w:rPr>
                <w:b/>
                <w:bCs/>
                <w:color w:val="000000"/>
                <w:sz w:val="20"/>
                <w:szCs w:val="20"/>
              </w:rPr>
              <w:t>959 Route 46 East, Suite 210, Parsippany, NJ</w:t>
            </w:r>
          </w:p>
        </w:tc>
        <w:tc>
          <w:tcPr>
            <w:tcW w:w="2500" w:type="pct"/>
            <w:tcMar>
              <w:top w:w="5" w:type="dxa"/>
              <w:left w:w="5" w:type="dxa"/>
              <w:bottom w:w="5" w:type="dxa"/>
              <w:right w:w="5" w:type="dxa"/>
            </w:tcMar>
            <w:hideMark/>
          </w:tcPr>
          <w:p w14:paraId="31109D11" w14:textId="77777777" w:rsidR="00C820B8" w:rsidRPr="0064652A" w:rsidRDefault="008D7FC6">
            <w:pPr>
              <w:jc w:val="center"/>
              <w:rPr>
                <w:color w:val="000000"/>
                <w:sz w:val="20"/>
                <w:szCs w:val="20"/>
              </w:rPr>
            </w:pPr>
            <w:r w:rsidRPr="0064652A">
              <w:rPr>
                <w:b/>
                <w:bCs/>
                <w:color w:val="000000"/>
                <w:sz w:val="20"/>
                <w:szCs w:val="20"/>
              </w:rPr>
              <w:t>07054</w:t>
            </w:r>
          </w:p>
        </w:tc>
      </w:tr>
      <w:tr w:rsidR="00C820B8" w:rsidRPr="0064652A" w14:paraId="375792C1" w14:textId="77777777">
        <w:trPr>
          <w:jc w:val="center"/>
        </w:trPr>
        <w:tc>
          <w:tcPr>
            <w:tcW w:w="2500" w:type="pct"/>
            <w:tcMar>
              <w:top w:w="5" w:type="dxa"/>
              <w:left w:w="5" w:type="dxa"/>
              <w:bottom w:w="5" w:type="dxa"/>
              <w:right w:w="5" w:type="dxa"/>
            </w:tcMar>
            <w:hideMark/>
          </w:tcPr>
          <w:p w14:paraId="21FAC974" w14:textId="77777777" w:rsidR="00C820B8" w:rsidRPr="0064652A" w:rsidRDefault="008D7FC6">
            <w:pPr>
              <w:jc w:val="center"/>
              <w:rPr>
                <w:color w:val="000000"/>
                <w:sz w:val="16"/>
                <w:szCs w:val="16"/>
              </w:rPr>
            </w:pPr>
            <w:r w:rsidRPr="0064652A">
              <w:rPr>
                <w:b/>
                <w:bCs/>
                <w:color w:val="000000"/>
                <w:sz w:val="16"/>
                <w:szCs w:val="16"/>
              </w:rPr>
              <w:t>(Address of principal executive offices)</w:t>
            </w:r>
          </w:p>
        </w:tc>
        <w:tc>
          <w:tcPr>
            <w:tcW w:w="2500" w:type="pct"/>
            <w:tcMar>
              <w:top w:w="5" w:type="dxa"/>
              <w:left w:w="5" w:type="dxa"/>
              <w:bottom w:w="5" w:type="dxa"/>
              <w:right w:w="5" w:type="dxa"/>
            </w:tcMar>
            <w:hideMark/>
          </w:tcPr>
          <w:p w14:paraId="2D0F19A5" w14:textId="77777777" w:rsidR="00C820B8" w:rsidRPr="0064652A" w:rsidRDefault="008D7FC6">
            <w:pPr>
              <w:jc w:val="center"/>
              <w:rPr>
                <w:color w:val="000000"/>
                <w:sz w:val="16"/>
                <w:szCs w:val="16"/>
              </w:rPr>
            </w:pPr>
            <w:r w:rsidRPr="0064652A">
              <w:rPr>
                <w:b/>
                <w:bCs/>
                <w:color w:val="000000"/>
                <w:sz w:val="16"/>
                <w:szCs w:val="16"/>
              </w:rPr>
              <w:t>(Zip code)</w:t>
            </w:r>
          </w:p>
        </w:tc>
      </w:tr>
    </w:tbl>
    <w:p w14:paraId="35A5B85A" w14:textId="77777777" w:rsidR="00C820B8" w:rsidRPr="0064652A" w:rsidRDefault="008D7FC6">
      <w:pPr>
        <w:rPr>
          <w:sz w:val="12"/>
          <w:szCs w:val="12"/>
        </w:rPr>
      </w:pPr>
      <w:r w:rsidRPr="0064652A">
        <w:rPr>
          <w:sz w:val="12"/>
          <w:szCs w:val="12"/>
        </w:rPr>
        <w:t> </w:t>
      </w:r>
    </w:p>
    <w:p w14:paraId="319E1E0D" w14:textId="77777777" w:rsidR="00C820B8" w:rsidRPr="0064652A" w:rsidRDefault="008D7FC6">
      <w:pPr>
        <w:jc w:val="center"/>
        <w:rPr>
          <w:sz w:val="20"/>
          <w:szCs w:val="20"/>
        </w:rPr>
      </w:pPr>
      <w:r w:rsidRPr="0064652A">
        <w:rPr>
          <w:b/>
          <w:bCs/>
          <w:sz w:val="20"/>
          <w:szCs w:val="20"/>
        </w:rPr>
        <w:t>(973) 428-2000</w:t>
      </w:r>
    </w:p>
    <w:p w14:paraId="19F3ABE5" w14:textId="77777777" w:rsidR="00C820B8" w:rsidRPr="0064652A" w:rsidRDefault="008D7FC6">
      <w:pPr>
        <w:jc w:val="center"/>
        <w:rPr>
          <w:sz w:val="16"/>
          <w:szCs w:val="16"/>
        </w:rPr>
      </w:pPr>
      <w:r w:rsidRPr="0064652A">
        <w:rPr>
          <w:b/>
          <w:bCs/>
          <w:sz w:val="16"/>
          <w:szCs w:val="16"/>
        </w:rPr>
        <w:t>(Registrant</w:t>
      </w:r>
      <w:r w:rsidRPr="0064652A">
        <w:rPr>
          <w:sz w:val="16"/>
          <w:szCs w:val="16"/>
        </w:rPr>
        <w:t>’</w:t>
      </w:r>
      <w:r w:rsidRPr="0064652A">
        <w:rPr>
          <w:b/>
          <w:bCs/>
          <w:sz w:val="16"/>
          <w:szCs w:val="16"/>
        </w:rPr>
        <w:t>s telephone number, including area code)</w:t>
      </w:r>
    </w:p>
    <w:p w14:paraId="34163B7F" w14:textId="77777777" w:rsidR="00C820B8" w:rsidRPr="0064652A" w:rsidRDefault="008D7FC6">
      <w:pPr>
        <w:rPr>
          <w:sz w:val="20"/>
          <w:szCs w:val="20"/>
        </w:rPr>
      </w:pPr>
      <w:r w:rsidRPr="0064652A">
        <w:rPr>
          <w:sz w:val="20"/>
          <w:szCs w:val="20"/>
        </w:rPr>
        <w:t> </w:t>
      </w:r>
    </w:p>
    <w:p w14:paraId="53F53FAB" w14:textId="77777777" w:rsidR="00C820B8" w:rsidRPr="0064652A" w:rsidRDefault="008D7FC6">
      <w:pPr>
        <w:jc w:val="center"/>
        <w:rPr>
          <w:sz w:val="16"/>
          <w:szCs w:val="16"/>
        </w:rPr>
      </w:pPr>
      <w:r w:rsidRPr="0064652A">
        <w:rPr>
          <w:b/>
          <w:bCs/>
          <w:sz w:val="16"/>
          <w:szCs w:val="16"/>
        </w:rPr>
        <w:t>Securities registered pursuant to Section</w:t>
      </w:r>
      <w:r w:rsidRPr="0064652A">
        <w:rPr>
          <w:sz w:val="16"/>
          <w:szCs w:val="16"/>
        </w:rPr>
        <w:t> </w:t>
      </w:r>
      <w:r w:rsidRPr="0064652A">
        <w:rPr>
          <w:b/>
          <w:bCs/>
          <w:sz w:val="16"/>
          <w:szCs w:val="16"/>
        </w:rPr>
        <w:t xml:space="preserve">12(b) of the Act: </w:t>
      </w:r>
    </w:p>
    <w:p w14:paraId="0298565F" w14:textId="77777777" w:rsidR="00C820B8" w:rsidRPr="0064652A" w:rsidRDefault="008D7FC6">
      <w:pPr>
        <w:rPr>
          <w:sz w:val="20"/>
          <w:szCs w:val="20"/>
        </w:rPr>
      </w:pPr>
      <w:r w:rsidRPr="0064652A">
        <w:rPr>
          <w:sz w:val="20"/>
          <w:szCs w:val="20"/>
        </w:rPr>
        <w:t> </w:t>
      </w:r>
    </w:p>
    <w:tbl>
      <w:tblPr>
        <w:tblW w:w="5000" w:type="pct"/>
        <w:jc w:val="center"/>
        <w:tblCellMar>
          <w:left w:w="0" w:type="dxa"/>
          <w:right w:w="0" w:type="dxa"/>
        </w:tblCellMar>
        <w:tblLook w:val="04A0" w:firstRow="1" w:lastRow="0" w:firstColumn="1" w:lastColumn="0" w:noHBand="0" w:noVBand="1"/>
      </w:tblPr>
      <w:tblGrid>
        <w:gridCol w:w="3585"/>
        <w:gridCol w:w="3586"/>
        <w:gridCol w:w="3629"/>
      </w:tblGrid>
      <w:tr w:rsidR="00C820B8" w:rsidRPr="0064652A" w14:paraId="72079D5B" w14:textId="77777777">
        <w:trPr>
          <w:jc w:val="center"/>
        </w:trPr>
        <w:tc>
          <w:tcPr>
            <w:tcW w:w="1660" w:type="pct"/>
            <w:tcMar>
              <w:top w:w="5" w:type="dxa"/>
              <w:left w:w="5" w:type="dxa"/>
              <w:bottom w:w="5" w:type="dxa"/>
              <w:right w:w="5" w:type="dxa"/>
            </w:tcMar>
            <w:vAlign w:val="bottom"/>
            <w:hideMark/>
          </w:tcPr>
          <w:p w14:paraId="2936266C" w14:textId="77777777" w:rsidR="00C820B8" w:rsidRPr="0064652A" w:rsidRDefault="008D7FC6">
            <w:pPr>
              <w:jc w:val="center"/>
              <w:rPr>
                <w:color w:val="000000"/>
                <w:sz w:val="20"/>
                <w:szCs w:val="20"/>
              </w:rPr>
            </w:pPr>
            <w:r w:rsidRPr="0064652A">
              <w:rPr>
                <w:b/>
                <w:bCs/>
                <w:color w:val="000000"/>
                <w:sz w:val="20"/>
                <w:szCs w:val="20"/>
                <w:u w:val="single" w:color="000000"/>
              </w:rPr>
              <w:t>Title of Each Class</w:t>
            </w:r>
          </w:p>
        </w:tc>
        <w:tc>
          <w:tcPr>
            <w:tcW w:w="1660" w:type="pct"/>
            <w:tcMar>
              <w:top w:w="5" w:type="dxa"/>
              <w:left w:w="5" w:type="dxa"/>
              <w:bottom w:w="5" w:type="dxa"/>
              <w:right w:w="5" w:type="dxa"/>
            </w:tcMar>
            <w:hideMark/>
          </w:tcPr>
          <w:p w14:paraId="1D6CC1A6" w14:textId="77777777" w:rsidR="00C820B8" w:rsidRPr="0064652A" w:rsidRDefault="008D7FC6">
            <w:pPr>
              <w:jc w:val="center"/>
              <w:rPr>
                <w:color w:val="000000"/>
                <w:sz w:val="20"/>
                <w:szCs w:val="20"/>
              </w:rPr>
            </w:pPr>
            <w:r w:rsidRPr="0064652A">
              <w:rPr>
                <w:b/>
                <w:bCs/>
                <w:color w:val="000000"/>
                <w:sz w:val="20"/>
                <w:szCs w:val="20"/>
                <w:u w:val="single" w:color="000000"/>
              </w:rPr>
              <w:t>Trading Symbol(s)</w:t>
            </w:r>
          </w:p>
        </w:tc>
        <w:tc>
          <w:tcPr>
            <w:tcW w:w="1680" w:type="pct"/>
            <w:tcMar>
              <w:top w:w="5" w:type="dxa"/>
              <w:left w:w="5" w:type="dxa"/>
              <w:bottom w:w="5" w:type="dxa"/>
              <w:right w:w="5" w:type="dxa"/>
            </w:tcMar>
            <w:vAlign w:val="bottom"/>
            <w:hideMark/>
          </w:tcPr>
          <w:p w14:paraId="704DC190" w14:textId="77777777" w:rsidR="00C820B8" w:rsidRPr="0064652A" w:rsidRDefault="008D7FC6">
            <w:pPr>
              <w:jc w:val="center"/>
              <w:rPr>
                <w:color w:val="000000"/>
                <w:sz w:val="20"/>
                <w:szCs w:val="20"/>
              </w:rPr>
            </w:pPr>
            <w:r w:rsidRPr="0064652A">
              <w:rPr>
                <w:b/>
                <w:bCs/>
                <w:color w:val="000000"/>
                <w:sz w:val="20"/>
                <w:szCs w:val="20"/>
                <w:u w:val="single" w:color="000000"/>
              </w:rPr>
              <w:t>Name of Each Exchange on Which Registered</w:t>
            </w:r>
          </w:p>
        </w:tc>
      </w:tr>
      <w:tr w:rsidR="00C820B8" w:rsidRPr="0064652A" w14:paraId="21651381" w14:textId="77777777">
        <w:trPr>
          <w:jc w:val="center"/>
        </w:trPr>
        <w:tc>
          <w:tcPr>
            <w:tcW w:w="1660" w:type="pct"/>
            <w:tcMar>
              <w:top w:w="5" w:type="dxa"/>
              <w:left w:w="5" w:type="dxa"/>
              <w:bottom w:w="5" w:type="dxa"/>
              <w:right w:w="5" w:type="dxa"/>
            </w:tcMar>
            <w:hideMark/>
          </w:tcPr>
          <w:p w14:paraId="292CA991" w14:textId="77777777" w:rsidR="00C820B8" w:rsidRPr="0064652A" w:rsidRDefault="008D7FC6">
            <w:pPr>
              <w:jc w:val="center"/>
              <w:rPr>
                <w:color w:val="000000"/>
                <w:sz w:val="20"/>
                <w:szCs w:val="20"/>
              </w:rPr>
            </w:pPr>
            <w:r w:rsidRPr="0064652A">
              <w:rPr>
                <w:b/>
                <w:bCs/>
                <w:color w:val="000000"/>
                <w:sz w:val="20"/>
                <w:szCs w:val="20"/>
              </w:rPr>
              <w:t>Common Stock, par value $.01 per share</w:t>
            </w:r>
          </w:p>
        </w:tc>
        <w:tc>
          <w:tcPr>
            <w:tcW w:w="1660" w:type="pct"/>
            <w:tcMar>
              <w:top w:w="5" w:type="dxa"/>
              <w:left w:w="5" w:type="dxa"/>
              <w:bottom w:w="5" w:type="dxa"/>
              <w:right w:w="5" w:type="dxa"/>
            </w:tcMar>
            <w:hideMark/>
          </w:tcPr>
          <w:p w14:paraId="3171DCBE" w14:textId="77777777" w:rsidR="00C820B8" w:rsidRPr="0064652A" w:rsidRDefault="008D7FC6">
            <w:pPr>
              <w:jc w:val="center"/>
              <w:rPr>
                <w:color w:val="000000"/>
                <w:sz w:val="20"/>
                <w:szCs w:val="20"/>
              </w:rPr>
            </w:pPr>
            <w:r w:rsidRPr="0064652A">
              <w:rPr>
                <w:b/>
                <w:bCs/>
                <w:color w:val="000000"/>
                <w:sz w:val="20"/>
                <w:szCs w:val="20"/>
              </w:rPr>
              <w:t>MSN</w:t>
            </w:r>
          </w:p>
        </w:tc>
        <w:tc>
          <w:tcPr>
            <w:tcW w:w="1680" w:type="pct"/>
            <w:tcMar>
              <w:top w:w="5" w:type="dxa"/>
              <w:left w:w="5" w:type="dxa"/>
              <w:bottom w:w="5" w:type="dxa"/>
              <w:right w:w="5" w:type="dxa"/>
            </w:tcMar>
            <w:hideMark/>
          </w:tcPr>
          <w:p w14:paraId="782E4048" w14:textId="77777777" w:rsidR="00C820B8" w:rsidRPr="0064652A" w:rsidRDefault="008D7FC6">
            <w:pPr>
              <w:jc w:val="center"/>
              <w:rPr>
                <w:color w:val="000000"/>
                <w:sz w:val="20"/>
                <w:szCs w:val="20"/>
              </w:rPr>
            </w:pPr>
            <w:r w:rsidRPr="0064652A">
              <w:rPr>
                <w:b/>
                <w:bCs/>
                <w:color w:val="000000"/>
                <w:sz w:val="20"/>
                <w:szCs w:val="20"/>
              </w:rPr>
              <w:t>NYSE American</w:t>
            </w:r>
          </w:p>
        </w:tc>
      </w:tr>
    </w:tbl>
    <w:p w14:paraId="3DA9ED64" w14:textId="77777777" w:rsidR="00C820B8" w:rsidRPr="0064652A" w:rsidRDefault="00000000">
      <w:pPr>
        <w:spacing w:before="120" w:after="120"/>
        <w:jc w:val="center"/>
        <w:rPr>
          <w:color w:val="000000"/>
        </w:rPr>
      </w:pPr>
      <w:r w:rsidRPr="0064652A">
        <w:pict w14:anchorId="60B5C5C5">
          <v:rect id="_x0000_i1031" style="width:117pt;height:.75pt" o:hrpct="250" o:hralign="center" o:hrstd="t" o:hrnoshade="t" o:hr="t" fillcolor="black" stroked="f">
            <v:path strokeok="f"/>
          </v:rect>
        </w:pict>
      </w:r>
    </w:p>
    <w:p w14:paraId="3B04F1A4" w14:textId="77777777" w:rsidR="00C820B8" w:rsidRPr="0064652A" w:rsidRDefault="008D7FC6">
      <w:pPr>
        <w:ind w:firstLine="500"/>
        <w:rPr>
          <w:sz w:val="20"/>
          <w:szCs w:val="20"/>
        </w:rPr>
      </w:pPr>
      <w:r w:rsidRPr="0064652A">
        <w:rPr>
          <w:sz w:val="20"/>
          <w:szCs w:val="20"/>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sidRPr="0064652A">
        <w:rPr>
          <w:rFonts w:ascii="Segoe UI Symbol" w:eastAsia="Segoe UI Symbol" w:hAnsi="Segoe UI Symbol" w:cs="Segoe UI Symbol"/>
          <w:sz w:val="20"/>
          <w:szCs w:val="20"/>
        </w:rPr>
        <w:t>☒</w:t>
      </w:r>
      <w:r w:rsidRPr="0064652A">
        <w:rPr>
          <w:sz w:val="20"/>
          <w:szCs w:val="20"/>
        </w:rPr>
        <w:t xml:space="preserve">   Yes     </w:t>
      </w:r>
      <w:r w:rsidRPr="0064652A">
        <w:rPr>
          <w:rFonts w:ascii="Segoe UI Symbol" w:eastAsia="Segoe UI Symbol" w:hAnsi="Segoe UI Symbol" w:cs="Segoe UI Symbol"/>
          <w:sz w:val="20"/>
          <w:szCs w:val="20"/>
        </w:rPr>
        <w:t>☐</w:t>
      </w:r>
      <w:r w:rsidRPr="0064652A">
        <w:rPr>
          <w:sz w:val="20"/>
          <w:szCs w:val="20"/>
        </w:rPr>
        <w:t xml:space="preserve">   No</w:t>
      </w:r>
    </w:p>
    <w:p w14:paraId="47B6F206" w14:textId="77777777" w:rsidR="00C820B8" w:rsidRPr="0064652A" w:rsidRDefault="008D7FC6">
      <w:pPr>
        <w:rPr>
          <w:sz w:val="12"/>
          <w:szCs w:val="12"/>
        </w:rPr>
      </w:pPr>
      <w:r w:rsidRPr="0064652A">
        <w:rPr>
          <w:sz w:val="12"/>
          <w:szCs w:val="12"/>
        </w:rPr>
        <w:t> </w:t>
      </w:r>
    </w:p>
    <w:p w14:paraId="506FBB07" w14:textId="77777777" w:rsidR="00C820B8" w:rsidRPr="0064652A" w:rsidRDefault="008D7FC6">
      <w:pPr>
        <w:ind w:firstLine="500"/>
        <w:rPr>
          <w:sz w:val="20"/>
          <w:szCs w:val="20"/>
        </w:rPr>
      </w:pPr>
      <w:r w:rsidRPr="0064652A">
        <w:rPr>
          <w:sz w:val="20"/>
          <w:szCs w:val="20"/>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w:t>
      </w:r>
      <w:r w:rsidRPr="0064652A">
        <w:rPr>
          <w:rFonts w:ascii="Segoe UI Symbol" w:eastAsia="Segoe UI Symbol" w:hAnsi="Segoe UI Symbol" w:cs="Segoe UI Symbol"/>
          <w:sz w:val="20"/>
          <w:szCs w:val="20"/>
        </w:rPr>
        <w:t>☒</w:t>
      </w:r>
      <w:r w:rsidRPr="0064652A">
        <w:rPr>
          <w:sz w:val="20"/>
          <w:szCs w:val="20"/>
        </w:rPr>
        <w:t xml:space="preserve">   Yes     </w:t>
      </w:r>
      <w:r w:rsidRPr="0064652A">
        <w:rPr>
          <w:rFonts w:ascii="Segoe UI Symbol" w:eastAsia="Segoe UI Symbol" w:hAnsi="Segoe UI Symbol" w:cs="Segoe UI Symbol"/>
          <w:sz w:val="20"/>
          <w:szCs w:val="20"/>
        </w:rPr>
        <w:t>☐</w:t>
      </w:r>
      <w:r w:rsidRPr="0064652A">
        <w:rPr>
          <w:sz w:val="20"/>
          <w:szCs w:val="20"/>
        </w:rPr>
        <w:t xml:space="preserve">   No</w:t>
      </w:r>
    </w:p>
    <w:p w14:paraId="6966D621" w14:textId="77777777" w:rsidR="00C820B8" w:rsidRPr="0064652A" w:rsidRDefault="008D7FC6">
      <w:pPr>
        <w:rPr>
          <w:sz w:val="12"/>
          <w:szCs w:val="12"/>
        </w:rPr>
      </w:pPr>
      <w:r w:rsidRPr="0064652A">
        <w:rPr>
          <w:sz w:val="12"/>
          <w:szCs w:val="12"/>
        </w:rPr>
        <w:t> </w:t>
      </w:r>
    </w:p>
    <w:p w14:paraId="2931A0FB" w14:textId="77777777" w:rsidR="00C820B8" w:rsidRPr="0064652A" w:rsidRDefault="008D7FC6">
      <w:pPr>
        <w:ind w:firstLine="500"/>
        <w:rPr>
          <w:sz w:val="20"/>
          <w:szCs w:val="20"/>
        </w:rPr>
      </w:pPr>
      <w:r w:rsidRPr="0064652A">
        <w:rPr>
          <w:sz w:val="20"/>
          <w:szCs w:val="20"/>
        </w:rPr>
        <w:lastRenderedPageBreak/>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14:paraId="6FF993B9" w14:textId="77777777" w:rsidR="00C820B8" w:rsidRPr="0064652A" w:rsidRDefault="008D7FC6">
      <w:pPr>
        <w:rPr>
          <w:sz w:val="20"/>
          <w:szCs w:val="20"/>
        </w:rPr>
      </w:pPr>
      <w:r w:rsidRPr="0064652A">
        <w:rPr>
          <w:sz w:val="20"/>
          <w:szCs w:val="20"/>
        </w:rPr>
        <w:t> </w:t>
      </w:r>
    </w:p>
    <w:tbl>
      <w:tblPr>
        <w:tblW w:w="5000" w:type="pct"/>
        <w:jc w:val="center"/>
        <w:tblCellMar>
          <w:left w:w="0" w:type="dxa"/>
          <w:right w:w="0" w:type="dxa"/>
        </w:tblCellMar>
        <w:tblLook w:val="04A0" w:firstRow="1" w:lastRow="0" w:firstColumn="1" w:lastColumn="0" w:noHBand="0" w:noVBand="1"/>
      </w:tblPr>
      <w:tblGrid>
        <w:gridCol w:w="2916"/>
        <w:gridCol w:w="4428"/>
        <w:gridCol w:w="2916"/>
        <w:gridCol w:w="540"/>
      </w:tblGrid>
      <w:tr w:rsidR="00C820B8" w:rsidRPr="0064652A" w14:paraId="136E4E16" w14:textId="77777777">
        <w:trPr>
          <w:jc w:val="center"/>
        </w:trPr>
        <w:tc>
          <w:tcPr>
            <w:tcW w:w="1350" w:type="pct"/>
            <w:tcMar>
              <w:top w:w="5" w:type="dxa"/>
              <w:left w:w="5" w:type="dxa"/>
              <w:bottom w:w="5" w:type="dxa"/>
              <w:right w:w="5" w:type="dxa"/>
            </w:tcMar>
            <w:vAlign w:val="bottom"/>
            <w:hideMark/>
          </w:tcPr>
          <w:p w14:paraId="54A5188A" w14:textId="77777777" w:rsidR="00C820B8" w:rsidRPr="0064652A" w:rsidRDefault="008D7FC6">
            <w:pPr>
              <w:rPr>
                <w:color w:val="000000"/>
                <w:sz w:val="20"/>
                <w:szCs w:val="20"/>
              </w:rPr>
            </w:pPr>
            <w:r w:rsidRPr="0064652A">
              <w:rPr>
                <w:color w:val="000000"/>
                <w:sz w:val="20"/>
                <w:szCs w:val="20"/>
              </w:rPr>
              <w:t>Large accelerated filer</w:t>
            </w:r>
          </w:p>
        </w:tc>
        <w:tc>
          <w:tcPr>
            <w:tcW w:w="2050" w:type="pct"/>
            <w:tcMar>
              <w:top w:w="5" w:type="dxa"/>
              <w:left w:w="5" w:type="dxa"/>
              <w:bottom w:w="5" w:type="dxa"/>
              <w:right w:w="5" w:type="dxa"/>
            </w:tcMar>
            <w:vAlign w:val="bottom"/>
            <w:hideMark/>
          </w:tcPr>
          <w:p w14:paraId="5CAB5B8B" w14:textId="77777777" w:rsidR="00C820B8" w:rsidRPr="0064652A" w:rsidRDefault="008D7FC6">
            <w:pPr>
              <w:rPr>
                <w:color w:val="000000"/>
                <w:sz w:val="20"/>
                <w:szCs w:val="20"/>
              </w:rPr>
            </w:pPr>
            <w:r w:rsidRPr="0064652A">
              <w:rPr>
                <w:rFonts w:ascii="Segoe UI Symbol" w:eastAsia="Segoe UI Symbol" w:hAnsi="Segoe UI Symbol" w:cs="Segoe UI Symbol"/>
                <w:color w:val="000000"/>
                <w:sz w:val="20"/>
                <w:szCs w:val="20"/>
              </w:rPr>
              <w:t>☐</w:t>
            </w:r>
          </w:p>
        </w:tc>
        <w:tc>
          <w:tcPr>
            <w:tcW w:w="1350" w:type="pct"/>
            <w:tcMar>
              <w:top w:w="5" w:type="dxa"/>
              <w:left w:w="5" w:type="dxa"/>
              <w:bottom w:w="5" w:type="dxa"/>
              <w:right w:w="5" w:type="dxa"/>
            </w:tcMar>
            <w:vAlign w:val="bottom"/>
            <w:hideMark/>
          </w:tcPr>
          <w:p w14:paraId="34E3D58A" w14:textId="77777777" w:rsidR="00C820B8" w:rsidRPr="0064652A" w:rsidRDefault="008D7FC6">
            <w:pPr>
              <w:rPr>
                <w:color w:val="000000"/>
                <w:sz w:val="20"/>
                <w:szCs w:val="20"/>
              </w:rPr>
            </w:pPr>
            <w:r w:rsidRPr="0064652A">
              <w:rPr>
                <w:color w:val="000000"/>
                <w:sz w:val="20"/>
                <w:szCs w:val="20"/>
              </w:rPr>
              <w:t>Accelerated filer</w:t>
            </w:r>
          </w:p>
        </w:tc>
        <w:tc>
          <w:tcPr>
            <w:tcW w:w="300" w:type="pct"/>
            <w:tcMar>
              <w:top w:w="5" w:type="dxa"/>
              <w:left w:w="5" w:type="dxa"/>
              <w:bottom w:w="5" w:type="dxa"/>
              <w:right w:w="5" w:type="dxa"/>
            </w:tcMar>
            <w:vAlign w:val="bottom"/>
            <w:hideMark/>
          </w:tcPr>
          <w:p w14:paraId="2383D425" w14:textId="77777777" w:rsidR="00C820B8" w:rsidRPr="0064652A" w:rsidRDefault="008D7FC6">
            <w:pPr>
              <w:rPr>
                <w:color w:val="000000"/>
                <w:sz w:val="20"/>
                <w:szCs w:val="20"/>
              </w:rPr>
            </w:pPr>
            <w:r w:rsidRPr="0064652A">
              <w:rPr>
                <w:rFonts w:ascii="Segoe UI Symbol" w:eastAsia="Segoe UI Symbol" w:hAnsi="Segoe UI Symbol" w:cs="Segoe UI Symbol"/>
                <w:color w:val="000000"/>
                <w:sz w:val="20"/>
                <w:szCs w:val="20"/>
              </w:rPr>
              <w:t>☐</w:t>
            </w:r>
          </w:p>
        </w:tc>
      </w:tr>
      <w:tr w:rsidR="00C820B8" w:rsidRPr="0064652A" w14:paraId="1DD36DA0" w14:textId="77777777">
        <w:trPr>
          <w:jc w:val="center"/>
        </w:trPr>
        <w:tc>
          <w:tcPr>
            <w:tcW w:w="1350" w:type="pct"/>
            <w:tcMar>
              <w:top w:w="5" w:type="dxa"/>
              <w:left w:w="5" w:type="dxa"/>
              <w:bottom w:w="5" w:type="dxa"/>
              <w:right w:w="5" w:type="dxa"/>
            </w:tcMar>
            <w:vAlign w:val="center"/>
            <w:hideMark/>
          </w:tcPr>
          <w:p w14:paraId="09B64FC7" w14:textId="77777777" w:rsidR="00C820B8" w:rsidRPr="0064652A" w:rsidRDefault="008D7FC6">
            <w:pPr>
              <w:rPr>
                <w:color w:val="000000"/>
                <w:sz w:val="20"/>
                <w:szCs w:val="20"/>
              </w:rPr>
            </w:pPr>
            <w:r w:rsidRPr="0064652A">
              <w:rPr>
                <w:color w:val="000000"/>
                <w:sz w:val="20"/>
                <w:szCs w:val="20"/>
              </w:rPr>
              <w:t> </w:t>
            </w:r>
          </w:p>
        </w:tc>
        <w:tc>
          <w:tcPr>
            <w:tcW w:w="2050" w:type="pct"/>
            <w:tcMar>
              <w:top w:w="5" w:type="dxa"/>
              <w:left w:w="5" w:type="dxa"/>
              <w:bottom w:w="5" w:type="dxa"/>
              <w:right w:w="5" w:type="dxa"/>
            </w:tcMar>
            <w:vAlign w:val="center"/>
            <w:hideMark/>
          </w:tcPr>
          <w:p w14:paraId="321F3818" w14:textId="77777777" w:rsidR="00C820B8" w:rsidRPr="0064652A" w:rsidRDefault="008D7FC6">
            <w:pPr>
              <w:rPr>
                <w:color w:val="000000"/>
                <w:sz w:val="20"/>
                <w:szCs w:val="20"/>
              </w:rPr>
            </w:pPr>
            <w:r w:rsidRPr="0064652A">
              <w:rPr>
                <w:color w:val="000000"/>
                <w:sz w:val="20"/>
                <w:szCs w:val="20"/>
              </w:rPr>
              <w:t> </w:t>
            </w:r>
          </w:p>
        </w:tc>
        <w:tc>
          <w:tcPr>
            <w:tcW w:w="1350" w:type="pct"/>
            <w:tcMar>
              <w:top w:w="5" w:type="dxa"/>
              <w:left w:w="5" w:type="dxa"/>
              <w:bottom w:w="5" w:type="dxa"/>
              <w:right w:w="5" w:type="dxa"/>
            </w:tcMar>
            <w:vAlign w:val="center"/>
            <w:hideMark/>
          </w:tcPr>
          <w:p w14:paraId="72B7D066" w14:textId="77777777" w:rsidR="00C820B8" w:rsidRPr="0064652A" w:rsidRDefault="008D7FC6">
            <w:pPr>
              <w:rPr>
                <w:color w:val="000000"/>
                <w:sz w:val="20"/>
                <w:szCs w:val="20"/>
              </w:rPr>
            </w:pPr>
            <w:r w:rsidRPr="0064652A">
              <w:rPr>
                <w:color w:val="000000"/>
                <w:sz w:val="20"/>
                <w:szCs w:val="20"/>
              </w:rPr>
              <w:t> </w:t>
            </w:r>
          </w:p>
        </w:tc>
        <w:tc>
          <w:tcPr>
            <w:tcW w:w="300" w:type="pct"/>
            <w:tcMar>
              <w:top w:w="5" w:type="dxa"/>
              <w:left w:w="5" w:type="dxa"/>
              <w:bottom w:w="5" w:type="dxa"/>
              <w:right w:w="5" w:type="dxa"/>
            </w:tcMar>
            <w:vAlign w:val="center"/>
            <w:hideMark/>
          </w:tcPr>
          <w:p w14:paraId="10C2D789" w14:textId="77777777" w:rsidR="00C820B8" w:rsidRPr="0064652A" w:rsidRDefault="008D7FC6">
            <w:pPr>
              <w:rPr>
                <w:color w:val="000000"/>
                <w:sz w:val="20"/>
                <w:szCs w:val="20"/>
              </w:rPr>
            </w:pPr>
            <w:r w:rsidRPr="0064652A">
              <w:rPr>
                <w:color w:val="000000"/>
                <w:sz w:val="20"/>
                <w:szCs w:val="20"/>
              </w:rPr>
              <w:t> </w:t>
            </w:r>
          </w:p>
        </w:tc>
      </w:tr>
      <w:tr w:rsidR="00C820B8" w:rsidRPr="0064652A" w14:paraId="07CC9C24" w14:textId="77777777">
        <w:trPr>
          <w:jc w:val="center"/>
        </w:trPr>
        <w:tc>
          <w:tcPr>
            <w:tcW w:w="1350" w:type="pct"/>
            <w:tcMar>
              <w:top w:w="5" w:type="dxa"/>
              <w:left w:w="5" w:type="dxa"/>
              <w:bottom w:w="5" w:type="dxa"/>
              <w:right w:w="5" w:type="dxa"/>
            </w:tcMar>
            <w:vAlign w:val="bottom"/>
            <w:hideMark/>
          </w:tcPr>
          <w:p w14:paraId="53215835" w14:textId="77777777" w:rsidR="00C820B8" w:rsidRPr="0064652A" w:rsidRDefault="008D7FC6">
            <w:pPr>
              <w:rPr>
                <w:color w:val="000000"/>
                <w:sz w:val="20"/>
                <w:szCs w:val="20"/>
              </w:rPr>
            </w:pPr>
            <w:r w:rsidRPr="0064652A">
              <w:rPr>
                <w:color w:val="000000"/>
                <w:sz w:val="20"/>
                <w:szCs w:val="20"/>
              </w:rPr>
              <w:t>Non-accelerated filer</w:t>
            </w:r>
          </w:p>
        </w:tc>
        <w:tc>
          <w:tcPr>
            <w:tcW w:w="2050" w:type="pct"/>
            <w:tcMar>
              <w:top w:w="5" w:type="dxa"/>
              <w:left w:w="5" w:type="dxa"/>
              <w:bottom w:w="5" w:type="dxa"/>
              <w:right w:w="5" w:type="dxa"/>
            </w:tcMar>
            <w:vAlign w:val="bottom"/>
            <w:hideMark/>
          </w:tcPr>
          <w:p w14:paraId="4141D53A" w14:textId="77777777" w:rsidR="00C820B8" w:rsidRPr="0064652A" w:rsidRDefault="008D7FC6">
            <w:pPr>
              <w:rPr>
                <w:color w:val="000000"/>
                <w:sz w:val="20"/>
                <w:szCs w:val="20"/>
              </w:rPr>
            </w:pPr>
            <w:r w:rsidRPr="0064652A">
              <w:rPr>
                <w:rFonts w:ascii="Segoe UI Symbol" w:eastAsia="Segoe UI Symbol" w:hAnsi="Segoe UI Symbol" w:cs="Segoe UI Symbol"/>
                <w:color w:val="000000"/>
                <w:sz w:val="20"/>
                <w:szCs w:val="20"/>
              </w:rPr>
              <w:t>☒</w:t>
            </w:r>
          </w:p>
        </w:tc>
        <w:tc>
          <w:tcPr>
            <w:tcW w:w="1350" w:type="pct"/>
            <w:tcMar>
              <w:top w:w="5" w:type="dxa"/>
              <w:left w:w="5" w:type="dxa"/>
              <w:bottom w:w="5" w:type="dxa"/>
              <w:right w:w="5" w:type="dxa"/>
            </w:tcMar>
            <w:vAlign w:val="bottom"/>
            <w:hideMark/>
          </w:tcPr>
          <w:p w14:paraId="159DE219" w14:textId="77777777" w:rsidR="00C820B8" w:rsidRPr="0064652A" w:rsidRDefault="008D7FC6">
            <w:pPr>
              <w:rPr>
                <w:color w:val="000000"/>
                <w:sz w:val="20"/>
                <w:szCs w:val="20"/>
              </w:rPr>
            </w:pPr>
            <w:r w:rsidRPr="0064652A">
              <w:rPr>
                <w:color w:val="000000"/>
                <w:sz w:val="20"/>
                <w:szCs w:val="20"/>
              </w:rPr>
              <w:t>Smaller reporting company</w:t>
            </w:r>
          </w:p>
        </w:tc>
        <w:tc>
          <w:tcPr>
            <w:tcW w:w="300" w:type="pct"/>
            <w:tcMar>
              <w:top w:w="5" w:type="dxa"/>
              <w:left w:w="5" w:type="dxa"/>
              <w:bottom w:w="5" w:type="dxa"/>
              <w:right w:w="5" w:type="dxa"/>
            </w:tcMar>
            <w:vAlign w:val="bottom"/>
            <w:hideMark/>
          </w:tcPr>
          <w:p w14:paraId="64F78C42" w14:textId="77777777" w:rsidR="00C820B8" w:rsidRPr="0064652A" w:rsidRDefault="008D7FC6">
            <w:pPr>
              <w:rPr>
                <w:color w:val="000000"/>
                <w:sz w:val="20"/>
                <w:szCs w:val="20"/>
              </w:rPr>
            </w:pPr>
            <w:r w:rsidRPr="0064652A">
              <w:rPr>
                <w:rFonts w:ascii="Segoe UI Symbol" w:eastAsia="Segoe UI Symbol" w:hAnsi="Segoe UI Symbol" w:cs="Segoe UI Symbol"/>
                <w:color w:val="000000"/>
                <w:sz w:val="20"/>
                <w:szCs w:val="20"/>
              </w:rPr>
              <w:t>☒</w:t>
            </w:r>
          </w:p>
        </w:tc>
      </w:tr>
      <w:tr w:rsidR="00C820B8" w:rsidRPr="0064652A" w14:paraId="382BF198" w14:textId="77777777">
        <w:trPr>
          <w:jc w:val="center"/>
        </w:trPr>
        <w:tc>
          <w:tcPr>
            <w:tcW w:w="1350" w:type="pct"/>
            <w:tcMar>
              <w:top w:w="5" w:type="dxa"/>
              <w:left w:w="5" w:type="dxa"/>
              <w:bottom w:w="5" w:type="dxa"/>
              <w:right w:w="5" w:type="dxa"/>
            </w:tcMar>
            <w:vAlign w:val="bottom"/>
            <w:hideMark/>
          </w:tcPr>
          <w:p w14:paraId="4F8ED497" w14:textId="77777777" w:rsidR="00C820B8" w:rsidRPr="0064652A" w:rsidRDefault="008D7FC6">
            <w:pPr>
              <w:rPr>
                <w:color w:val="000000"/>
                <w:sz w:val="20"/>
                <w:szCs w:val="20"/>
              </w:rPr>
            </w:pPr>
            <w:r w:rsidRPr="0064652A">
              <w:rPr>
                <w:color w:val="000000"/>
                <w:sz w:val="20"/>
                <w:szCs w:val="20"/>
              </w:rPr>
              <w:t> </w:t>
            </w:r>
          </w:p>
        </w:tc>
        <w:tc>
          <w:tcPr>
            <w:tcW w:w="2050" w:type="pct"/>
            <w:tcMar>
              <w:top w:w="5" w:type="dxa"/>
              <w:left w:w="5" w:type="dxa"/>
              <w:bottom w:w="5" w:type="dxa"/>
              <w:right w:w="5" w:type="dxa"/>
            </w:tcMar>
            <w:vAlign w:val="bottom"/>
            <w:hideMark/>
          </w:tcPr>
          <w:p w14:paraId="357E7195" w14:textId="77777777" w:rsidR="00C820B8" w:rsidRPr="0064652A" w:rsidRDefault="008D7FC6">
            <w:pPr>
              <w:rPr>
                <w:color w:val="000000"/>
                <w:sz w:val="20"/>
                <w:szCs w:val="20"/>
              </w:rPr>
            </w:pPr>
            <w:r w:rsidRPr="0064652A">
              <w:rPr>
                <w:color w:val="000000"/>
                <w:sz w:val="20"/>
                <w:szCs w:val="20"/>
              </w:rPr>
              <w:t> </w:t>
            </w:r>
          </w:p>
        </w:tc>
        <w:tc>
          <w:tcPr>
            <w:tcW w:w="1350" w:type="pct"/>
            <w:tcMar>
              <w:top w:w="5" w:type="dxa"/>
              <w:left w:w="5" w:type="dxa"/>
              <w:bottom w:w="5" w:type="dxa"/>
              <w:right w:w="5" w:type="dxa"/>
            </w:tcMar>
            <w:vAlign w:val="bottom"/>
            <w:hideMark/>
          </w:tcPr>
          <w:p w14:paraId="4ED83AF8" w14:textId="77777777" w:rsidR="00C820B8" w:rsidRPr="0064652A" w:rsidRDefault="008D7FC6">
            <w:pPr>
              <w:rPr>
                <w:color w:val="000000"/>
                <w:sz w:val="20"/>
                <w:szCs w:val="20"/>
              </w:rPr>
            </w:pPr>
            <w:r w:rsidRPr="0064652A">
              <w:rPr>
                <w:color w:val="000000"/>
                <w:sz w:val="20"/>
                <w:szCs w:val="20"/>
              </w:rPr>
              <w:t> </w:t>
            </w:r>
          </w:p>
        </w:tc>
        <w:tc>
          <w:tcPr>
            <w:tcW w:w="300" w:type="pct"/>
            <w:tcMar>
              <w:top w:w="5" w:type="dxa"/>
              <w:left w:w="5" w:type="dxa"/>
              <w:bottom w:w="5" w:type="dxa"/>
              <w:right w:w="5" w:type="dxa"/>
            </w:tcMar>
            <w:vAlign w:val="bottom"/>
            <w:hideMark/>
          </w:tcPr>
          <w:p w14:paraId="585B0DC4" w14:textId="77777777" w:rsidR="00C820B8" w:rsidRPr="0064652A" w:rsidRDefault="008D7FC6">
            <w:pPr>
              <w:rPr>
                <w:color w:val="000000"/>
                <w:sz w:val="20"/>
                <w:szCs w:val="20"/>
              </w:rPr>
            </w:pPr>
            <w:r w:rsidRPr="0064652A">
              <w:rPr>
                <w:color w:val="000000"/>
                <w:sz w:val="20"/>
                <w:szCs w:val="20"/>
              </w:rPr>
              <w:t> </w:t>
            </w:r>
          </w:p>
        </w:tc>
      </w:tr>
      <w:tr w:rsidR="00C820B8" w:rsidRPr="0064652A" w14:paraId="3FDF8BC0" w14:textId="77777777">
        <w:trPr>
          <w:jc w:val="center"/>
        </w:trPr>
        <w:tc>
          <w:tcPr>
            <w:tcW w:w="1350" w:type="pct"/>
            <w:tcMar>
              <w:top w:w="5" w:type="dxa"/>
              <w:left w:w="5" w:type="dxa"/>
              <w:bottom w:w="5" w:type="dxa"/>
              <w:right w:w="5" w:type="dxa"/>
            </w:tcMar>
            <w:vAlign w:val="bottom"/>
            <w:hideMark/>
          </w:tcPr>
          <w:p w14:paraId="08E02273" w14:textId="77777777" w:rsidR="00C820B8" w:rsidRPr="0064652A" w:rsidRDefault="008D7FC6">
            <w:pPr>
              <w:rPr>
                <w:color w:val="000000"/>
                <w:sz w:val="20"/>
                <w:szCs w:val="20"/>
              </w:rPr>
            </w:pPr>
            <w:r w:rsidRPr="0064652A">
              <w:rPr>
                <w:color w:val="000000"/>
                <w:sz w:val="20"/>
                <w:szCs w:val="20"/>
              </w:rPr>
              <w:t> </w:t>
            </w:r>
          </w:p>
        </w:tc>
        <w:tc>
          <w:tcPr>
            <w:tcW w:w="2050" w:type="pct"/>
            <w:tcMar>
              <w:top w:w="5" w:type="dxa"/>
              <w:left w:w="5" w:type="dxa"/>
              <w:bottom w:w="5" w:type="dxa"/>
              <w:right w:w="5" w:type="dxa"/>
            </w:tcMar>
            <w:vAlign w:val="bottom"/>
            <w:hideMark/>
          </w:tcPr>
          <w:p w14:paraId="19963B2B" w14:textId="77777777" w:rsidR="00C820B8" w:rsidRPr="0064652A" w:rsidRDefault="008D7FC6">
            <w:pPr>
              <w:rPr>
                <w:color w:val="000000"/>
                <w:sz w:val="20"/>
                <w:szCs w:val="20"/>
              </w:rPr>
            </w:pPr>
            <w:r w:rsidRPr="0064652A">
              <w:rPr>
                <w:color w:val="000000"/>
                <w:sz w:val="20"/>
                <w:szCs w:val="20"/>
              </w:rPr>
              <w:t> </w:t>
            </w:r>
          </w:p>
        </w:tc>
        <w:tc>
          <w:tcPr>
            <w:tcW w:w="1350" w:type="pct"/>
            <w:tcMar>
              <w:top w:w="5" w:type="dxa"/>
              <w:left w:w="5" w:type="dxa"/>
              <w:bottom w:w="5" w:type="dxa"/>
              <w:right w:w="5" w:type="dxa"/>
            </w:tcMar>
            <w:vAlign w:val="bottom"/>
            <w:hideMark/>
          </w:tcPr>
          <w:p w14:paraId="3368AC99" w14:textId="77777777" w:rsidR="00C820B8" w:rsidRPr="0064652A" w:rsidRDefault="008D7FC6">
            <w:pPr>
              <w:rPr>
                <w:color w:val="000000"/>
                <w:sz w:val="20"/>
                <w:szCs w:val="20"/>
              </w:rPr>
            </w:pPr>
            <w:r w:rsidRPr="0064652A">
              <w:rPr>
                <w:color w:val="000000"/>
                <w:sz w:val="20"/>
                <w:szCs w:val="20"/>
              </w:rPr>
              <w:t>Emerging growth company</w:t>
            </w:r>
          </w:p>
        </w:tc>
        <w:tc>
          <w:tcPr>
            <w:tcW w:w="300" w:type="pct"/>
            <w:tcMar>
              <w:top w:w="5" w:type="dxa"/>
              <w:left w:w="5" w:type="dxa"/>
              <w:bottom w:w="5" w:type="dxa"/>
              <w:right w:w="5" w:type="dxa"/>
            </w:tcMar>
            <w:vAlign w:val="bottom"/>
            <w:hideMark/>
          </w:tcPr>
          <w:p w14:paraId="51B24A77" w14:textId="77777777" w:rsidR="00C820B8" w:rsidRPr="0064652A" w:rsidRDefault="008D7FC6">
            <w:pPr>
              <w:rPr>
                <w:color w:val="000000"/>
                <w:sz w:val="20"/>
                <w:szCs w:val="20"/>
              </w:rPr>
            </w:pPr>
            <w:r w:rsidRPr="0064652A">
              <w:rPr>
                <w:rFonts w:ascii="Segoe UI Symbol" w:eastAsia="Segoe UI Symbol" w:hAnsi="Segoe UI Symbol" w:cs="Segoe UI Symbol"/>
                <w:color w:val="000000"/>
                <w:sz w:val="20"/>
                <w:szCs w:val="20"/>
              </w:rPr>
              <w:t>☐</w:t>
            </w:r>
          </w:p>
        </w:tc>
      </w:tr>
    </w:tbl>
    <w:p w14:paraId="7E011A64" w14:textId="77777777" w:rsidR="00C820B8" w:rsidRPr="0064652A" w:rsidRDefault="008D7FC6">
      <w:pPr>
        <w:rPr>
          <w:sz w:val="20"/>
          <w:szCs w:val="20"/>
        </w:rPr>
      </w:pPr>
      <w:r w:rsidRPr="0064652A">
        <w:rPr>
          <w:sz w:val="20"/>
          <w:szCs w:val="20"/>
        </w:rPr>
        <w:t> </w:t>
      </w:r>
    </w:p>
    <w:p w14:paraId="0B5E5FC6" w14:textId="77777777" w:rsidR="00C820B8" w:rsidRPr="0064652A" w:rsidRDefault="008D7FC6">
      <w:pPr>
        <w:ind w:firstLine="500"/>
        <w:rPr>
          <w:sz w:val="20"/>
          <w:szCs w:val="20"/>
        </w:rPr>
      </w:pPr>
      <w:r w:rsidRPr="0064652A">
        <w:rPr>
          <w:sz w:val="20"/>
          <w:szCs w:val="20"/>
        </w:rPr>
        <w:t>If an emerging growth company, indicate by check mark if the registrant has elected not to use the extended transition period for complying with any new or revised financial accounting standards provided pursuant to Section 13(a) of the Exchange Act.     </w:t>
      </w:r>
      <w:r w:rsidRPr="0064652A">
        <w:rPr>
          <w:rFonts w:ascii="Segoe UI Symbol" w:eastAsia="Segoe UI Symbol" w:hAnsi="Segoe UI Symbol" w:cs="Segoe UI Symbol"/>
          <w:sz w:val="20"/>
          <w:szCs w:val="20"/>
        </w:rPr>
        <w:t>☐</w:t>
      </w:r>
    </w:p>
    <w:p w14:paraId="3E8CE2B5" w14:textId="77777777" w:rsidR="00C820B8" w:rsidRPr="0064652A" w:rsidRDefault="008D7FC6">
      <w:pPr>
        <w:rPr>
          <w:sz w:val="12"/>
          <w:szCs w:val="12"/>
        </w:rPr>
      </w:pPr>
      <w:r w:rsidRPr="0064652A">
        <w:rPr>
          <w:sz w:val="12"/>
          <w:szCs w:val="12"/>
        </w:rPr>
        <w:t> </w:t>
      </w:r>
    </w:p>
    <w:p w14:paraId="3DE200F0" w14:textId="77777777" w:rsidR="00C820B8" w:rsidRPr="0064652A" w:rsidRDefault="008D7FC6">
      <w:pPr>
        <w:ind w:firstLine="500"/>
        <w:rPr>
          <w:sz w:val="20"/>
          <w:szCs w:val="20"/>
        </w:rPr>
      </w:pPr>
      <w:r w:rsidRPr="0064652A">
        <w:rPr>
          <w:sz w:val="20"/>
          <w:szCs w:val="20"/>
        </w:rPr>
        <w:t>Indicate by check mark whether the registrant is a shell company (as defined in Rule 12b-2 of the Exchange Act).     </w:t>
      </w:r>
      <w:r w:rsidRPr="0064652A">
        <w:rPr>
          <w:rFonts w:ascii="Segoe UI Symbol" w:eastAsia="Segoe UI Symbol" w:hAnsi="Segoe UI Symbol" w:cs="Segoe UI Symbol"/>
          <w:sz w:val="20"/>
          <w:szCs w:val="20"/>
        </w:rPr>
        <w:t>☐</w:t>
      </w:r>
      <w:r w:rsidRPr="0064652A">
        <w:rPr>
          <w:sz w:val="20"/>
          <w:szCs w:val="20"/>
        </w:rPr>
        <w:t>   Yes     </w:t>
      </w:r>
      <w:r w:rsidRPr="0064652A">
        <w:rPr>
          <w:rFonts w:ascii="Segoe UI Symbol" w:eastAsia="Segoe UI Symbol" w:hAnsi="Segoe UI Symbol" w:cs="Segoe UI Symbol"/>
          <w:sz w:val="20"/>
          <w:szCs w:val="20"/>
        </w:rPr>
        <w:t>☒</w:t>
      </w:r>
      <w:r w:rsidRPr="0064652A">
        <w:rPr>
          <w:sz w:val="20"/>
          <w:szCs w:val="20"/>
        </w:rPr>
        <w:t>   No</w:t>
      </w:r>
    </w:p>
    <w:p w14:paraId="224AC018" w14:textId="77777777" w:rsidR="00C820B8" w:rsidRPr="0064652A" w:rsidRDefault="008D7FC6">
      <w:pPr>
        <w:ind w:firstLine="500"/>
        <w:rPr>
          <w:sz w:val="12"/>
          <w:szCs w:val="12"/>
        </w:rPr>
      </w:pPr>
      <w:r w:rsidRPr="0064652A">
        <w:rPr>
          <w:sz w:val="12"/>
          <w:szCs w:val="12"/>
        </w:rPr>
        <w:t> </w:t>
      </w:r>
    </w:p>
    <w:p w14:paraId="28B82872" w14:textId="77777777" w:rsidR="00C820B8" w:rsidRPr="0064652A" w:rsidRDefault="008D7FC6">
      <w:pPr>
        <w:ind w:firstLine="500"/>
        <w:rPr>
          <w:sz w:val="20"/>
          <w:szCs w:val="20"/>
        </w:rPr>
      </w:pPr>
      <w:r w:rsidRPr="0064652A">
        <w:rPr>
          <w:sz w:val="20"/>
          <w:szCs w:val="20"/>
        </w:rPr>
        <w:t xml:space="preserve">Indicate the number of shares outstanding of common stock as of </w:t>
      </w:r>
      <w:bookmarkStart w:id="2" w:name="led288631F2023881694208466336"/>
      <w:r w:rsidRPr="0064652A">
        <w:rPr>
          <w:sz w:val="20"/>
          <w:szCs w:val="20"/>
        </w:rPr>
        <w:t>February 20, 2024</w:t>
      </w:r>
      <w:bookmarkEnd w:id="2"/>
      <w:r w:rsidRPr="0064652A">
        <w:rPr>
          <w:sz w:val="20"/>
          <w:szCs w:val="20"/>
        </w:rPr>
        <w:t>: 21,042,652.</w:t>
      </w:r>
    </w:p>
    <w:p w14:paraId="3BF45B15" w14:textId="77777777" w:rsidR="00C820B8" w:rsidRPr="0064652A" w:rsidRDefault="008D7FC6">
      <w:pPr>
        <w:rPr>
          <w:sz w:val="20"/>
          <w:szCs w:val="20"/>
        </w:rPr>
      </w:pPr>
      <w:r w:rsidRPr="0064652A">
        <w:rPr>
          <w:sz w:val="20"/>
          <w:szCs w:val="20"/>
        </w:rPr>
        <w:t> </w:t>
      </w:r>
    </w:p>
    <w:p w14:paraId="2856FAEA" w14:textId="77777777" w:rsidR="00C820B8" w:rsidRPr="0064652A" w:rsidRDefault="00000000">
      <w:pPr>
        <w:spacing w:before="60" w:after="60"/>
        <w:rPr>
          <w:color w:val="000000"/>
        </w:rPr>
      </w:pPr>
      <w:r w:rsidRPr="0064652A">
        <w:pict w14:anchorId="3871083C">
          <v:rect id="_x0000_i1032" style="width:468pt;height:.75pt" o:hrstd="t" o:hrnoshade="t" o:hr="t" fillcolor="black" stroked="f">
            <v:path strokeok="f"/>
          </v:rect>
        </w:pict>
      </w:r>
    </w:p>
    <w:p w14:paraId="2BE4A505" w14:textId="77777777" w:rsidR="00C820B8" w:rsidRPr="0064652A" w:rsidRDefault="00000000">
      <w:pPr>
        <w:spacing w:after="60"/>
        <w:rPr>
          <w:color w:val="000000"/>
        </w:rPr>
      </w:pPr>
      <w:r w:rsidRPr="0064652A">
        <w:pict w14:anchorId="6355AE53">
          <v:rect id="_x0000_i1033" style="width:468pt;height:2.25pt" o:hrstd="t" o:hrnoshade="t" o:hr="t" fillcolor="black" stroked="f">
            <v:path strokeok="f"/>
          </v:rect>
        </w:pict>
      </w:r>
    </w:p>
    <w:p w14:paraId="7D9B8BA0" w14:textId="77777777" w:rsidR="00C820B8" w:rsidRPr="0064652A" w:rsidRDefault="008D7FC6">
      <w:pPr>
        <w:jc w:val="center"/>
      </w:pPr>
      <w:r w:rsidRPr="0064652A">
        <w:t> </w:t>
      </w:r>
    </w:p>
    <w:p w14:paraId="53487F05"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1F3DD370" w14:textId="77777777" w:rsidR="00C820B8" w:rsidRPr="0064652A" w:rsidRDefault="008D7FC6">
      <w:pPr>
        <w:rPr>
          <w:sz w:val="20"/>
          <w:szCs w:val="20"/>
        </w:rPr>
      </w:pPr>
      <w:r w:rsidRPr="0064652A">
        <w:rPr>
          <w:sz w:val="20"/>
          <w:szCs w:val="20"/>
        </w:rPr>
        <w:t> </w:t>
      </w:r>
    </w:p>
    <w:p w14:paraId="21E52364" w14:textId="77777777" w:rsidR="00C820B8" w:rsidRPr="0064652A" w:rsidRDefault="008D7FC6">
      <w:r w:rsidRPr="0064652A">
        <w:t> </w:t>
      </w:r>
    </w:p>
    <w:p w14:paraId="6E8B738A" w14:textId="77777777" w:rsidR="00C820B8" w:rsidRPr="0064652A" w:rsidRDefault="008D7FC6">
      <w:pPr>
        <w:jc w:val="center"/>
        <w:rPr>
          <w:sz w:val="20"/>
          <w:szCs w:val="20"/>
        </w:rPr>
      </w:pPr>
      <w:bookmarkStart w:id="3" w:name="toc"/>
      <w:bookmarkEnd w:id="3"/>
      <w:r w:rsidRPr="0064652A">
        <w:rPr>
          <w:b/>
          <w:bCs/>
          <w:sz w:val="20"/>
          <w:szCs w:val="20"/>
        </w:rPr>
        <w:t>TABLE OF CONTENTS</w:t>
      </w:r>
    </w:p>
    <w:p w14:paraId="76DC6885" w14:textId="77777777" w:rsidR="00C820B8" w:rsidRPr="0064652A" w:rsidRDefault="008D7FC6">
      <w:pPr>
        <w:rPr>
          <w:sz w:val="20"/>
          <w:szCs w:val="20"/>
        </w:rPr>
      </w:pPr>
      <w:r w:rsidRPr="0064652A">
        <w:rPr>
          <w:sz w:val="20"/>
          <w:szCs w:val="20"/>
        </w:rPr>
        <w:t> </w:t>
      </w:r>
    </w:p>
    <w:tbl>
      <w:tblPr>
        <w:tblW w:w="5000" w:type="pct"/>
        <w:jc w:val="center"/>
        <w:tblCellMar>
          <w:left w:w="0" w:type="dxa"/>
          <w:right w:w="0" w:type="dxa"/>
        </w:tblCellMar>
        <w:tblLook w:val="04A0" w:firstRow="1" w:lastRow="0" w:firstColumn="1" w:lastColumn="0" w:noHBand="0" w:noVBand="1"/>
      </w:tblPr>
      <w:tblGrid>
        <w:gridCol w:w="10260"/>
        <w:gridCol w:w="540"/>
      </w:tblGrid>
      <w:tr w:rsidR="00C820B8" w:rsidRPr="0064652A" w14:paraId="6E12037A" w14:textId="77777777">
        <w:trPr>
          <w:jc w:val="center"/>
        </w:trPr>
        <w:tc>
          <w:tcPr>
            <w:tcW w:w="4750" w:type="pct"/>
            <w:tcMar>
              <w:top w:w="5" w:type="dxa"/>
              <w:left w:w="5" w:type="dxa"/>
              <w:bottom w:w="5" w:type="dxa"/>
              <w:right w:w="5" w:type="dxa"/>
            </w:tcMar>
            <w:vAlign w:val="bottom"/>
            <w:hideMark/>
          </w:tcPr>
          <w:p w14:paraId="00A2AC08" w14:textId="77777777" w:rsidR="00C820B8" w:rsidRPr="0064652A" w:rsidRDefault="00000000">
            <w:pPr>
              <w:rPr>
                <w:color w:val="000000"/>
                <w:sz w:val="20"/>
                <w:szCs w:val="20"/>
              </w:rPr>
            </w:pPr>
            <w:hyperlink w:anchor="parti" w:history="1">
              <w:r w:rsidR="008D7FC6" w:rsidRPr="0064652A">
                <w:rPr>
                  <w:color w:val="0000EE"/>
                  <w:sz w:val="20"/>
                  <w:szCs w:val="20"/>
                  <w:u w:val="single" w:color="0000EE"/>
                </w:rPr>
                <w:t>PART I — FINANCIAL INFORMATION</w:t>
              </w:r>
            </w:hyperlink>
          </w:p>
        </w:tc>
        <w:tc>
          <w:tcPr>
            <w:tcW w:w="250" w:type="pct"/>
            <w:tcMar>
              <w:top w:w="5" w:type="dxa"/>
              <w:left w:w="5" w:type="dxa"/>
              <w:bottom w:w="5" w:type="dxa"/>
              <w:right w:w="5" w:type="dxa"/>
            </w:tcMar>
            <w:vAlign w:val="bottom"/>
            <w:hideMark/>
          </w:tcPr>
          <w:p w14:paraId="7BAE702A" w14:textId="77777777" w:rsidR="00C820B8" w:rsidRPr="0064652A" w:rsidRDefault="008D7FC6">
            <w:pPr>
              <w:rPr>
                <w:color w:val="000000"/>
                <w:sz w:val="20"/>
                <w:szCs w:val="20"/>
              </w:rPr>
            </w:pPr>
            <w:r w:rsidRPr="0064652A">
              <w:rPr>
                <w:color w:val="000000"/>
                <w:sz w:val="20"/>
                <w:szCs w:val="20"/>
              </w:rPr>
              <w:t> </w:t>
            </w:r>
          </w:p>
        </w:tc>
      </w:tr>
      <w:tr w:rsidR="00C820B8" w:rsidRPr="0064652A" w14:paraId="0A816DA3" w14:textId="77777777">
        <w:trPr>
          <w:jc w:val="center"/>
        </w:trPr>
        <w:tc>
          <w:tcPr>
            <w:tcW w:w="4750" w:type="pct"/>
            <w:tcMar>
              <w:top w:w="5" w:type="dxa"/>
              <w:left w:w="5" w:type="dxa"/>
              <w:bottom w:w="5" w:type="dxa"/>
              <w:right w:w="5" w:type="dxa"/>
            </w:tcMar>
            <w:vAlign w:val="bottom"/>
            <w:hideMark/>
          </w:tcPr>
          <w:p w14:paraId="441C4D3D" w14:textId="77777777" w:rsidR="00C820B8" w:rsidRPr="0064652A" w:rsidRDefault="00000000">
            <w:pPr>
              <w:rPr>
                <w:color w:val="000000"/>
                <w:sz w:val="20"/>
                <w:szCs w:val="20"/>
              </w:rPr>
            </w:pPr>
            <w:hyperlink w:anchor="parti" w:history="1">
              <w:r w:rsidR="008D7FC6" w:rsidRPr="0064652A">
                <w:rPr>
                  <w:color w:val="0000EE"/>
                  <w:sz w:val="20"/>
                  <w:szCs w:val="20"/>
                  <w:u w:val="single" w:color="0000EE"/>
                </w:rPr>
                <w:t>Item 1. Financial Statements</w:t>
              </w:r>
            </w:hyperlink>
          </w:p>
        </w:tc>
        <w:tc>
          <w:tcPr>
            <w:tcW w:w="250" w:type="pct"/>
            <w:tcMar>
              <w:top w:w="5" w:type="dxa"/>
              <w:left w:w="5" w:type="dxa"/>
              <w:bottom w:w="5" w:type="dxa"/>
              <w:right w:w="5" w:type="dxa"/>
            </w:tcMar>
            <w:vAlign w:val="bottom"/>
            <w:hideMark/>
          </w:tcPr>
          <w:p w14:paraId="0CCC08FC" w14:textId="77777777" w:rsidR="00C820B8" w:rsidRPr="0064652A" w:rsidRDefault="00000000">
            <w:pPr>
              <w:jc w:val="right"/>
              <w:rPr>
                <w:color w:val="000000"/>
                <w:sz w:val="20"/>
                <w:szCs w:val="20"/>
              </w:rPr>
            </w:pPr>
            <w:hyperlink w:anchor="parti" w:history="1">
              <w:r w:rsidR="008D7FC6" w:rsidRPr="0064652A">
                <w:rPr>
                  <w:color w:val="0000EE"/>
                  <w:sz w:val="20"/>
                  <w:szCs w:val="20"/>
                  <w:u w:val="single" w:color="0000EE"/>
                </w:rPr>
                <w:t>3</w:t>
              </w:r>
            </w:hyperlink>
          </w:p>
        </w:tc>
      </w:tr>
      <w:tr w:rsidR="00C820B8" w:rsidRPr="0064652A" w14:paraId="3A03DE42" w14:textId="77777777">
        <w:trPr>
          <w:jc w:val="center"/>
        </w:trPr>
        <w:tc>
          <w:tcPr>
            <w:tcW w:w="4750" w:type="pct"/>
            <w:tcMar>
              <w:top w:w="5" w:type="dxa"/>
              <w:left w:w="5" w:type="dxa"/>
              <w:bottom w:w="5" w:type="dxa"/>
              <w:right w:w="5" w:type="dxa"/>
            </w:tcMar>
            <w:vAlign w:val="bottom"/>
            <w:hideMark/>
          </w:tcPr>
          <w:p w14:paraId="2257C1A3" w14:textId="77777777" w:rsidR="00C820B8" w:rsidRPr="0064652A" w:rsidRDefault="00000000">
            <w:pPr>
              <w:rPr>
                <w:color w:val="000000"/>
                <w:sz w:val="20"/>
                <w:szCs w:val="20"/>
              </w:rPr>
            </w:pPr>
            <w:hyperlink w:anchor="mda" w:history="1">
              <w:r w:rsidR="008D7FC6" w:rsidRPr="0064652A">
                <w:rPr>
                  <w:color w:val="0000EE"/>
                  <w:sz w:val="20"/>
                  <w:szCs w:val="20"/>
                  <w:u w:val="single" w:color="0000EE"/>
                </w:rPr>
                <w:t>Item 2. Management’s Discussion and Analysis of Results of Operations and Financial Condition</w:t>
              </w:r>
            </w:hyperlink>
          </w:p>
        </w:tc>
        <w:tc>
          <w:tcPr>
            <w:tcW w:w="250" w:type="pct"/>
            <w:tcMar>
              <w:top w:w="5" w:type="dxa"/>
              <w:left w:w="5" w:type="dxa"/>
              <w:bottom w:w="5" w:type="dxa"/>
              <w:right w:w="5" w:type="dxa"/>
            </w:tcMar>
            <w:vAlign w:val="bottom"/>
            <w:hideMark/>
          </w:tcPr>
          <w:p w14:paraId="1BAC3F44" w14:textId="77777777" w:rsidR="00C820B8" w:rsidRPr="0064652A" w:rsidRDefault="00000000">
            <w:pPr>
              <w:jc w:val="right"/>
              <w:rPr>
                <w:color w:val="000000"/>
                <w:sz w:val="20"/>
                <w:szCs w:val="20"/>
              </w:rPr>
            </w:pPr>
            <w:hyperlink w:anchor="mda" w:history="1">
              <w:r w:rsidR="008D7FC6" w:rsidRPr="0064652A">
                <w:rPr>
                  <w:color w:val="0000EE"/>
                  <w:sz w:val="20"/>
                  <w:szCs w:val="20"/>
                  <w:u w:val="single" w:color="0000EE"/>
                </w:rPr>
                <w:t>14</w:t>
              </w:r>
            </w:hyperlink>
          </w:p>
        </w:tc>
      </w:tr>
      <w:tr w:rsidR="00C820B8" w:rsidRPr="0064652A" w14:paraId="36968DF4" w14:textId="77777777">
        <w:trPr>
          <w:jc w:val="center"/>
        </w:trPr>
        <w:tc>
          <w:tcPr>
            <w:tcW w:w="4750" w:type="pct"/>
            <w:tcMar>
              <w:top w:w="5" w:type="dxa"/>
              <w:left w:w="5" w:type="dxa"/>
              <w:bottom w:w="5" w:type="dxa"/>
              <w:right w:w="5" w:type="dxa"/>
            </w:tcMar>
            <w:vAlign w:val="bottom"/>
            <w:hideMark/>
          </w:tcPr>
          <w:p w14:paraId="4172598D" w14:textId="77777777" w:rsidR="00C820B8" w:rsidRPr="0064652A" w:rsidRDefault="00000000">
            <w:pPr>
              <w:rPr>
                <w:color w:val="000000"/>
                <w:sz w:val="20"/>
                <w:szCs w:val="20"/>
              </w:rPr>
            </w:pPr>
            <w:hyperlink w:anchor="qqdmr" w:history="1">
              <w:r w:rsidR="008D7FC6" w:rsidRPr="0064652A">
                <w:rPr>
                  <w:color w:val="0000EE"/>
                  <w:sz w:val="20"/>
                  <w:szCs w:val="20"/>
                  <w:u w:val="single" w:color="0000EE"/>
                </w:rPr>
                <w:t>Item 3. Quantitative and Qualitative Disclosures About Market Risk</w:t>
              </w:r>
            </w:hyperlink>
          </w:p>
        </w:tc>
        <w:tc>
          <w:tcPr>
            <w:tcW w:w="250" w:type="pct"/>
            <w:tcMar>
              <w:top w:w="5" w:type="dxa"/>
              <w:left w:w="5" w:type="dxa"/>
              <w:bottom w:w="5" w:type="dxa"/>
              <w:right w:w="5" w:type="dxa"/>
            </w:tcMar>
            <w:vAlign w:val="bottom"/>
            <w:hideMark/>
          </w:tcPr>
          <w:p w14:paraId="5AE24C50" w14:textId="77777777" w:rsidR="00C820B8" w:rsidRPr="0064652A" w:rsidRDefault="00000000">
            <w:pPr>
              <w:jc w:val="right"/>
              <w:rPr>
                <w:color w:val="000000"/>
                <w:sz w:val="20"/>
                <w:szCs w:val="20"/>
              </w:rPr>
            </w:pPr>
            <w:hyperlink w:anchor="qqdmr" w:history="1">
              <w:r w:rsidR="008D7FC6" w:rsidRPr="0064652A">
                <w:rPr>
                  <w:color w:val="0000EE"/>
                  <w:sz w:val="20"/>
                  <w:szCs w:val="20"/>
                  <w:u w:val="single" w:color="0000EE"/>
                </w:rPr>
                <w:t>19</w:t>
              </w:r>
            </w:hyperlink>
          </w:p>
        </w:tc>
      </w:tr>
      <w:tr w:rsidR="00C820B8" w:rsidRPr="0064652A" w14:paraId="1FE40B50" w14:textId="77777777">
        <w:trPr>
          <w:jc w:val="center"/>
        </w:trPr>
        <w:tc>
          <w:tcPr>
            <w:tcW w:w="4750" w:type="pct"/>
            <w:tcMar>
              <w:top w:w="5" w:type="dxa"/>
              <w:left w:w="5" w:type="dxa"/>
              <w:bottom w:w="5" w:type="dxa"/>
              <w:right w:w="5" w:type="dxa"/>
            </w:tcMar>
            <w:vAlign w:val="bottom"/>
            <w:hideMark/>
          </w:tcPr>
          <w:p w14:paraId="48D08AE7" w14:textId="77777777" w:rsidR="00C820B8" w:rsidRPr="0064652A" w:rsidRDefault="00000000">
            <w:pPr>
              <w:rPr>
                <w:color w:val="000000"/>
                <w:sz w:val="20"/>
                <w:szCs w:val="20"/>
              </w:rPr>
            </w:pPr>
            <w:hyperlink w:anchor="cps" w:history="1">
              <w:r w:rsidR="008D7FC6" w:rsidRPr="0064652A">
                <w:rPr>
                  <w:color w:val="0000EE"/>
                  <w:sz w:val="20"/>
                  <w:szCs w:val="20"/>
                  <w:u w:val="single" w:color="0000EE"/>
                </w:rPr>
                <w:t>Item 4. Controls and Procedures</w:t>
              </w:r>
            </w:hyperlink>
          </w:p>
        </w:tc>
        <w:tc>
          <w:tcPr>
            <w:tcW w:w="250" w:type="pct"/>
            <w:tcMar>
              <w:top w:w="5" w:type="dxa"/>
              <w:left w:w="5" w:type="dxa"/>
              <w:bottom w:w="5" w:type="dxa"/>
              <w:right w:w="5" w:type="dxa"/>
            </w:tcMar>
            <w:vAlign w:val="bottom"/>
            <w:hideMark/>
          </w:tcPr>
          <w:p w14:paraId="036DA1C7" w14:textId="77777777" w:rsidR="00C820B8" w:rsidRPr="0064652A" w:rsidRDefault="00000000">
            <w:pPr>
              <w:jc w:val="right"/>
              <w:rPr>
                <w:color w:val="000000"/>
                <w:sz w:val="20"/>
                <w:szCs w:val="20"/>
              </w:rPr>
            </w:pPr>
            <w:hyperlink w:anchor="cps" w:history="1">
              <w:r w:rsidR="008D7FC6" w:rsidRPr="0064652A">
                <w:rPr>
                  <w:color w:val="0000EE"/>
                  <w:sz w:val="20"/>
                  <w:szCs w:val="20"/>
                  <w:u w:val="single" w:color="0000EE"/>
                </w:rPr>
                <w:t>19</w:t>
              </w:r>
            </w:hyperlink>
          </w:p>
        </w:tc>
      </w:tr>
      <w:tr w:rsidR="00C820B8" w:rsidRPr="0064652A" w14:paraId="1425E891" w14:textId="77777777">
        <w:trPr>
          <w:jc w:val="center"/>
        </w:trPr>
        <w:tc>
          <w:tcPr>
            <w:tcW w:w="4750" w:type="pct"/>
            <w:tcMar>
              <w:top w:w="5" w:type="dxa"/>
              <w:left w:w="5" w:type="dxa"/>
              <w:bottom w:w="5" w:type="dxa"/>
              <w:right w:w="5" w:type="dxa"/>
            </w:tcMar>
            <w:vAlign w:val="bottom"/>
            <w:hideMark/>
          </w:tcPr>
          <w:p w14:paraId="0A92C280" w14:textId="77777777" w:rsidR="00C820B8" w:rsidRPr="0064652A" w:rsidRDefault="00000000">
            <w:pPr>
              <w:rPr>
                <w:color w:val="000000"/>
                <w:sz w:val="20"/>
                <w:szCs w:val="20"/>
              </w:rPr>
            </w:pPr>
            <w:hyperlink w:anchor="partii" w:history="1">
              <w:r w:rsidR="008D7FC6" w:rsidRPr="0064652A">
                <w:rPr>
                  <w:color w:val="0000EE"/>
                  <w:sz w:val="20"/>
                  <w:szCs w:val="20"/>
                  <w:u w:val="single" w:color="0000EE"/>
                </w:rPr>
                <w:t>PART II — OTHER INFORMATION</w:t>
              </w:r>
            </w:hyperlink>
          </w:p>
        </w:tc>
        <w:tc>
          <w:tcPr>
            <w:tcW w:w="250" w:type="pct"/>
            <w:tcMar>
              <w:top w:w="5" w:type="dxa"/>
              <w:left w:w="5" w:type="dxa"/>
              <w:bottom w:w="5" w:type="dxa"/>
              <w:right w:w="5" w:type="dxa"/>
            </w:tcMar>
            <w:vAlign w:val="bottom"/>
            <w:hideMark/>
          </w:tcPr>
          <w:p w14:paraId="3B3C5216" w14:textId="77777777" w:rsidR="00C820B8" w:rsidRPr="0064652A" w:rsidRDefault="008D7FC6">
            <w:pPr>
              <w:rPr>
                <w:color w:val="000000"/>
                <w:sz w:val="20"/>
                <w:szCs w:val="20"/>
              </w:rPr>
            </w:pPr>
            <w:r w:rsidRPr="0064652A">
              <w:rPr>
                <w:color w:val="000000"/>
                <w:sz w:val="20"/>
                <w:szCs w:val="20"/>
              </w:rPr>
              <w:t> </w:t>
            </w:r>
          </w:p>
        </w:tc>
      </w:tr>
      <w:tr w:rsidR="00C820B8" w:rsidRPr="0064652A" w14:paraId="46EDEF18" w14:textId="77777777">
        <w:trPr>
          <w:jc w:val="center"/>
        </w:trPr>
        <w:tc>
          <w:tcPr>
            <w:tcW w:w="4750" w:type="pct"/>
            <w:tcMar>
              <w:top w:w="5" w:type="dxa"/>
              <w:left w:w="5" w:type="dxa"/>
              <w:bottom w:w="5" w:type="dxa"/>
              <w:right w:w="5" w:type="dxa"/>
            </w:tcMar>
            <w:vAlign w:val="bottom"/>
            <w:hideMark/>
          </w:tcPr>
          <w:p w14:paraId="0D57BC99" w14:textId="77777777" w:rsidR="00C820B8" w:rsidRPr="0064652A" w:rsidRDefault="00000000">
            <w:pPr>
              <w:rPr>
                <w:color w:val="000000"/>
                <w:sz w:val="20"/>
                <w:szCs w:val="20"/>
              </w:rPr>
            </w:pPr>
            <w:hyperlink w:anchor="legal" w:history="1">
              <w:r w:rsidR="008D7FC6" w:rsidRPr="0064652A">
                <w:rPr>
                  <w:color w:val="0000EE"/>
                  <w:sz w:val="20"/>
                  <w:szCs w:val="20"/>
                  <w:u w:val="single" w:color="0000EE"/>
                </w:rPr>
                <w:t>Item 1. Legal Proceedings</w:t>
              </w:r>
            </w:hyperlink>
          </w:p>
        </w:tc>
        <w:tc>
          <w:tcPr>
            <w:tcW w:w="250" w:type="pct"/>
            <w:tcMar>
              <w:top w:w="5" w:type="dxa"/>
              <w:left w:w="5" w:type="dxa"/>
              <w:bottom w:w="5" w:type="dxa"/>
              <w:right w:w="5" w:type="dxa"/>
            </w:tcMar>
            <w:vAlign w:val="bottom"/>
            <w:hideMark/>
          </w:tcPr>
          <w:p w14:paraId="79EAFCB7" w14:textId="77777777" w:rsidR="00C820B8" w:rsidRPr="0064652A" w:rsidRDefault="00000000">
            <w:pPr>
              <w:jc w:val="right"/>
              <w:rPr>
                <w:color w:val="000000"/>
                <w:sz w:val="20"/>
                <w:szCs w:val="20"/>
              </w:rPr>
            </w:pPr>
            <w:hyperlink w:anchor="legal" w:history="1">
              <w:r w:rsidR="008D7FC6" w:rsidRPr="0064652A">
                <w:rPr>
                  <w:color w:val="0000EE"/>
                  <w:sz w:val="20"/>
                  <w:szCs w:val="20"/>
                  <w:u w:val="single" w:color="0000EE"/>
                </w:rPr>
                <w:t>20</w:t>
              </w:r>
            </w:hyperlink>
          </w:p>
        </w:tc>
      </w:tr>
      <w:tr w:rsidR="00C820B8" w:rsidRPr="0064652A" w14:paraId="17771EF5" w14:textId="77777777">
        <w:trPr>
          <w:jc w:val="center"/>
        </w:trPr>
        <w:tc>
          <w:tcPr>
            <w:tcW w:w="4750" w:type="pct"/>
            <w:tcMar>
              <w:top w:w="5" w:type="dxa"/>
              <w:left w:w="5" w:type="dxa"/>
              <w:bottom w:w="5" w:type="dxa"/>
              <w:right w:w="5" w:type="dxa"/>
            </w:tcMar>
            <w:vAlign w:val="bottom"/>
            <w:hideMark/>
          </w:tcPr>
          <w:p w14:paraId="30FA33E0" w14:textId="77777777" w:rsidR="00C820B8" w:rsidRPr="0064652A" w:rsidRDefault="00000000">
            <w:pPr>
              <w:rPr>
                <w:color w:val="000000"/>
                <w:sz w:val="20"/>
                <w:szCs w:val="20"/>
              </w:rPr>
            </w:pPr>
            <w:hyperlink w:anchor="risks" w:history="1">
              <w:r w:rsidR="008D7FC6" w:rsidRPr="0064652A">
                <w:rPr>
                  <w:color w:val="0000EE"/>
                  <w:sz w:val="20"/>
                  <w:szCs w:val="20"/>
                  <w:u w:val="single" w:color="0000EE"/>
                </w:rPr>
                <w:t>Item 1A. Risk Factors</w:t>
              </w:r>
            </w:hyperlink>
          </w:p>
        </w:tc>
        <w:tc>
          <w:tcPr>
            <w:tcW w:w="250" w:type="pct"/>
            <w:tcMar>
              <w:top w:w="5" w:type="dxa"/>
              <w:left w:w="5" w:type="dxa"/>
              <w:bottom w:w="5" w:type="dxa"/>
              <w:right w:w="5" w:type="dxa"/>
            </w:tcMar>
            <w:vAlign w:val="bottom"/>
            <w:hideMark/>
          </w:tcPr>
          <w:p w14:paraId="09A4EF25" w14:textId="77777777" w:rsidR="00C820B8" w:rsidRPr="0064652A" w:rsidRDefault="00000000">
            <w:pPr>
              <w:jc w:val="right"/>
              <w:rPr>
                <w:color w:val="000000"/>
                <w:sz w:val="20"/>
                <w:szCs w:val="20"/>
              </w:rPr>
            </w:pPr>
            <w:hyperlink w:anchor="risks" w:history="1">
              <w:r w:rsidR="008D7FC6" w:rsidRPr="0064652A">
                <w:rPr>
                  <w:color w:val="0000EE"/>
                  <w:sz w:val="20"/>
                  <w:szCs w:val="20"/>
                  <w:u w:val="single" w:color="0000EE"/>
                </w:rPr>
                <w:t>20</w:t>
              </w:r>
            </w:hyperlink>
          </w:p>
        </w:tc>
      </w:tr>
      <w:tr w:rsidR="00C820B8" w:rsidRPr="0064652A" w14:paraId="580FB078" w14:textId="77777777">
        <w:trPr>
          <w:jc w:val="center"/>
        </w:trPr>
        <w:tc>
          <w:tcPr>
            <w:tcW w:w="4750" w:type="pct"/>
            <w:tcMar>
              <w:top w:w="5" w:type="dxa"/>
              <w:left w:w="5" w:type="dxa"/>
              <w:bottom w:w="5" w:type="dxa"/>
              <w:right w:w="5" w:type="dxa"/>
            </w:tcMar>
            <w:vAlign w:val="bottom"/>
            <w:hideMark/>
          </w:tcPr>
          <w:p w14:paraId="4FEB5F8A" w14:textId="77777777" w:rsidR="00C820B8" w:rsidRPr="0064652A" w:rsidRDefault="00000000">
            <w:pPr>
              <w:rPr>
                <w:color w:val="000000"/>
                <w:sz w:val="20"/>
                <w:szCs w:val="20"/>
              </w:rPr>
            </w:pPr>
            <w:hyperlink w:anchor="uses" w:history="1">
              <w:r w:rsidR="008D7FC6" w:rsidRPr="0064652A">
                <w:rPr>
                  <w:color w:val="0000EE"/>
                  <w:sz w:val="20"/>
                  <w:szCs w:val="20"/>
                  <w:u w:val="single" w:color="0000EE"/>
                </w:rPr>
                <w:t>Item 2. Unregistered Sales of Equity Securities and Use of Proceeds</w:t>
              </w:r>
            </w:hyperlink>
          </w:p>
        </w:tc>
        <w:tc>
          <w:tcPr>
            <w:tcW w:w="250" w:type="pct"/>
            <w:tcMar>
              <w:top w:w="5" w:type="dxa"/>
              <w:left w:w="5" w:type="dxa"/>
              <w:bottom w:w="5" w:type="dxa"/>
              <w:right w:w="5" w:type="dxa"/>
            </w:tcMar>
            <w:vAlign w:val="bottom"/>
            <w:hideMark/>
          </w:tcPr>
          <w:p w14:paraId="13BD165D" w14:textId="77777777" w:rsidR="00C820B8" w:rsidRPr="0064652A" w:rsidRDefault="00000000">
            <w:pPr>
              <w:jc w:val="right"/>
              <w:rPr>
                <w:color w:val="000000"/>
                <w:sz w:val="20"/>
                <w:szCs w:val="20"/>
              </w:rPr>
            </w:pPr>
            <w:hyperlink w:anchor="uses" w:history="1">
              <w:r w:rsidR="008D7FC6" w:rsidRPr="0064652A">
                <w:rPr>
                  <w:color w:val="0000EE"/>
                  <w:sz w:val="20"/>
                  <w:szCs w:val="20"/>
                  <w:u w:val="single" w:color="0000EE"/>
                </w:rPr>
                <w:t>20</w:t>
              </w:r>
            </w:hyperlink>
          </w:p>
        </w:tc>
      </w:tr>
      <w:tr w:rsidR="00C820B8" w:rsidRPr="0064652A" w14:paraId="70345311" w14:textId="77777777">
        <w:trPr>
          <w:jc w:val="center"/>
        </w:trPr>
        <w:tc>
          <w:tcPr>
            <w:tcW w:w="4750" w:type="pct"/>
            <w:tcMar>
              <w:top w:w="5" w:type="dxa"/>
              <w:left w:w="5" w:type="dxa"/>
              <w:bottom w:w="5" w:type="dxa"/>
              <w:right w:w="5" w:type="dxa"/>
            </w:tcMar>
            <w:vAlign w:val="bottom"/>
            <w:hideMark/>
          </w:tcPr>
          <w:p w14:paraId="6CF1DEC2" w14:textId="77777777" w:rsidR="00C820B8" w:rsidRPr="0064652A" w:rsidRDefault="00000000">
            <w:pPr>
              <w:rPr>
                <w:color w:val="000000"/>
                <w:sz w:val="20"/>
                <w:szCs w:val="20"/>
              </w:rPr>
            </w:pPr>
            <w:hyperlink w:anchor="duss" w:history="1">
              <w:r w:rsidR="008D7FC6" w:rsidRPr="0064652A">
                <w:rPr>
                  <w:color w:val="0000EE"/>
                  <w:sz w:val="20"/>
                  <w:szCs w:val="20"/>
                  <w:u w:val="single" w:color="0000EE"/>
                </w:rPr>
                <w:t>Item 3. Defaults Upon Senior Securities</w:t>
              </w:r>
            </w:hyperlink>
          </w:p>
        </w:tc>
        <w:tc>
          <w:tcPr>
            <w:tcW w:w="250" w:type="pct"/>
            <w:tcMar>
              <w:top w:w="5" w:type="dxa"/>
              <w:left w:w="5" w:type="dxa"/>
              <w:bottom w:w="5" w:type="dxa"/>
              <w:right w:w="5" w:type="dxa"/>
            </w:tcMar>
            <w:vAlign w:val="bottom"/>
            <w:hideMark/>
          </w:tcPr>
          <w:p w14:paraId="15FB9949" w14:textId="77777777" w:rsidR="00C820B8" w:rsidRPr="0064652A" w:rsidRDefault="00000000">
            <w:pPr>
              <w:jc w:val="right"/>
              <w:rPr>
                <w:color w:val="000000"/>
                <w:sz w:val="20"/>
                <w:szCs w:val="20"/>
              </w:rPr>
            </w:pPr>
            <w:hyperlink w:anchor="duss" w:history="1">
              <w:r w:rsidR="008D7FC6" w:rsidRPr="0064652A">
                <w:rPr>
                  <w:color w:val="0000EE"/>
                  <w:sz w:val="20"/>
                  <w:szCs w:val="20"/>
                  <w:u w:val="single" w:color="0000EE"/>
                </w:rPr>
                <w:t>20</w:t>
              </w:r>
            </w:hyperlink>
          </w:p>
        </w:tc>
      </w:tr>
      <w:tr w:rsidR="00C820B8" w:rsidRPr="0064652A" w14:paraId="3DA956E3" w14:textId="77777777">
        <w:trPr>
          <w:jc w:val="center"/>
        </w:trPr>
        <w:tc>
          <w:tcPr>
            <w:tcW w:w="4750" w:type="pct"/>
            <w:tcMar>
              <w:top w:w="5" w:type="dxa"/>
              <w:left w:w="5" w:type="dxa"/>
              <w:bottom w:w="5" w:type="dxa"/>
              <w:right w:w="5" w:type="dxa"/>
            </w:tcMar>
            <w:vAlign w:val="bottom"/>
            <w:hideMark/>
          </w:tcPr>
          <w:p w14:paraId="2263B34E" w14:textId="77777777" w:rsidR="00C820B8" w:rsidRPr="0064652A" w:rsidRDefault="00000000">
            <w:pPr>
              <w:rPr>
                <w:color w:val="000000"/>
                <w:sz w:val="20"/>
                <w:szCs w:val="20"/>
              </w:rPr>
            </w:pPr>
            <w:hyperlink w:anchor="msd" w:history="1">
              <w:r w:rsidR="008D7FC6" w:rsidRPr="0064652A">
                <w:rPr>
                  <w:color w:val="0000EE"/>
                  <w:sz w:val="20"/>
                  <w:szCs w:val="20"/>
                  <w:u w:val="single" w:color="0000EE"/>
                </w:rPr>
                <w:t>Item 4. Mine Safety Disclosure</w:t>
              </w:r>
            </w:hyperlink>
          </w:p>
        </w:tc>
        <w:tc>
          <w:tcPr>
            <w:tcW w:w="250" w:type="pct"/>
            <w:tcMar>
              <w:top w:w="5" w:type="dxa"/>
              <w:left w:w="5" w:type="dxa"/>
              <w:bottom w:w="5" w:type="dxa"/>
              <w:right w:w="5" w:type="dxa"/>
            </w:tcMar>
            <w:vAlign w:val="bottom"/>
            <w:hideMark/>
          </w:tcPr>
          <w:p w14:paraId="65E28230" w14:textId="77777777" w:rsidR="00C820B8" w:rsidRPr="0064652A" w:rsidRDefault="00000000">
            <w:pPr>
              <w:jc w:val="right"/>
              <w:rPr>
                <w:color w:val="000000"/>
                <w:sz w:val="20"/>
                <w:szCs w:val="20"/>
              </w:rPr>
            </w:pPr>
            <w:hyperlink w:anchor="msd" w:history="1">
              <w:r w:rsidR="008D7FC6" w:rsidRPr="0064652A">
                <w:rPr>
                  <w:color w:val="0000EE"/>
                  <w:sz w:val="20"/>
                  <w:szCs w:val="20"/>
                  <w:u w:val="single" w:color="0000EE"/>
                </w:rPr>
                <w:t>20</w:t>
              </w:r>
            </w:hyperlink>
          </w:p>
        </w:tc>
      </w:tr>
      <w:tr w:rsidR="00C820B8" w:rsidRPr="0064652A" w14:paraId="3D2DADA3" w14:textId="77777777">
        <w:trPr>
          <w:jc w:val="center"/>
        </w:trPr>
        <w:tc>
          <w:tcPr>
            <w:tcW w:w="4750" w:type="pct"/>
            <w:tcMar>
              <w:top w:w="5" w:type="dxa"/>
              <w:left w:w="5" w:type="dxa"/>
              <w:bottom w:w="5" w:type="dxa"/>
              <w:right w:w="5" w:type="dxa"/>
            </w:tcMar>
            <w:vAlign w:val="bottom"/>
            <w:hideMark/>
          </w:tcPr>
          <w:p w14:paraId="24770813" w14:textId="77777777" w:rsidR="00C820B8" w:rsidRPr="0064652A" w:rsidRDefault="00000000">
            <w:pPr>
              <w:rPr>
                <w:color w:val="000000"/>
                <w:sz w:val="20"/>
                <w:szCs w:val="20"/>
              </w:rPr>
            </w:pPr>
            <w:hyperlink w:anchor="oi" w:history="1">
              <w:r w:rsidR="008D7FC6" w:rsidRPr="0064652A">
                <w:rPr>
                  <w:color w:val="0000EE"/>
                  <w:sz w:val="20"/>
                  <w:szCs w:val="20"/>
                  <w:u w:val="single" w:color="0000EE"/>
                </w:rPr>
                <w:t>Item 5. Other Information</w:t>
              </w:r>
            </w:hyperlink>
          </w:p>
        </w:tc>
        <w:tc>
          <w:tcPr>
            <w:tcW w:w="250" w:type="pct"/>
            <w:tcMar>
              <w:top w:w="5" w:type="dxa"/>
              <w:left w:w="5" w:type="dxa"/>
              <w:bottom w:w="5" w:type="dxa"/>
              <w:right w:w="5" w:type="dxa"/>
            </w:tcMar>
            <w:vAlign w:val="bottom"/>
            <w:hideMark/>
          </w:tcPr>
          <w:p w14:paraId="057D90EE" w14:textId="77777777" w:rsidR="00C820B8" w:rsidRPr="0064652A" w:rsidRDefault="00000000">
            <w:pPr>
              <w:jc w:val="right"/>
              <w:rPr>
                <w:color w:val="000000"/>
                <w:sz w:val="20"/>
                <w:szCs w:val="20"/>
              </w:rPr>
            </w:pPr>
            <w:hyperlink w:anchor="oi" w:history="1">
              <w:r w:rsidR="008D7FC6" w:rsidRPr="0064652A">
                <w:rPr>
                  <w:color w:val="0000EE"/>
                  <w:sz w:val="20"/>
                  <w:szCs w:val="20"/>
                  <w:u w:val="single" w:color="0000EE"/>
                </w:rPr>
                <w:t>20</w:t>
              </w:r>
            </w:hyperlink>
          </w:p>
        </w:tc>
      </w:tr>
      <w:tr w:rsidR="00C820B8" w:rsidRPr="0064652A" w14:paraId="4793E07A" w14:textId="77777777">
        <w:trPr>
          <w:jc w:val="center"/>
        </w:trPr>
        <w:tc>
          <w:tcPr>
            <w:tcW w:w="4750" w:type="pct"/>
            <w:tcMar>
              <w:top w:w="5" w:type="dxa"/>
              <w:left w:w="5" w:type="dxa"/>
              <w:bottom w:w="5" w:type="dxa"/>
              <w:right w:w="5" w:type="dxa"/>
            </w:tcMar>
            <w:vAlign w:val="bottom"/>
            <w:hideMark/>
          </w:tcPr>
          <w:p w14:paraId="1C6B2261" w14:textId="77777777" w:rsidR="00C820B8" w:rsidRPr="0064652A" w:rsidRDefault="00000000">
            <w:pPr>
              <w:rPr>
                <w:color w:val="000000"/>
                <w:sz w:val="20"/>
                <w:szCs w:val="20"/>
              </w:rPr>
            </w:pPr>
            <w:hyperlink w:anchor="exs" w:history="1">
              <w:r w:rsidR="008D7FC6" w:rsidRPr="0064652A">
                <w:rPr>
                  <w:color w:val="0000EE"/>
                  <w:sz w:val="20"/>
                  <w:szCs w:val="20"/>
                  <w:u w:val="single" w:color="0000EE"/>
                </w:rPr>
                <w:t>Item 6. Exhibits</w:t>
              </w:r>
            </w:hyperlink>
          </w:p>
        </w:tc>
        <w:tc>
          <w:tcPr>
            <w:tcW w:w="250" w:type="pct"/>
            <w:tcMar>
              <w:top w:w="5" w:type="dxa"/>
              <w:left w:w="5" w:type="dxa"/>
              <w:bottom w:w="5" w:type="dxa"/>
              <w:right w:w="5" w:type="dxa"/>
            </w:tcMar>
            <w:vAlign w:val="bottom"/>
            <w:hideMark/>
          </w:tcPr>
          <w:p w14:paraId="5512A6BF" w14:textId="77777777" w:rsidR="00C820B8" w:rsidRPr="0064652A" w:rsidRDefault="00000000">
            <w:pPr>
              <w:jc w:val="right"/>
              <w:rPr>
                <w:color w:val="000000"/>
                <w:sz w:val="20"/>
                <w:szCs w:val="20"/>
              </w:rPr>
            </w:pPr>
            <w:hyperlink w:anchor="exs" w:history="1">
              <w:r w:rsidR="008D7FC6" w:rsidRPr="0064652A">
                <w:rPr>
                  <w:color w:val="0000EE"/>
                  <w:sz w:val="20"/>
                  <w:szCs w:val="20"/>
                  <w:u w:val="single" w:color="0000EE"/>
                </w:rPr>
                <w:t>20</w:t>
              </w:r>
            </w:hyperlink>
          </w:p>
        </w:tc>
      </w:tr>
      <w:tr w:rsidR="00C820B8" w:rsidRPr="0064652A" w14:paraId="73F90410" w14:textId="77777777">
        <w:trPr>
          <w:jc w:val="center"/>
        </w:trPr>
        <w:tc>
          <w:tcPr>
            <w:tcW w:w="4750" w:type="pct"/>
            <w:tcMar>
              <w:top w:w="5" w:type="dxa"/>
              <w:left w:w="5" w:type="dxa"/>
              <w:bottom w:w="5" w:type="dxa"/>
              <w:right w:w="5" w:type="dxa"/>
            </w:tcMar>
            <w:vAlign w:val="bottom"/>
            <w:hideMark/>
          </w:tcPr>
          <w:p w14:paraId="0F17822A" w14:textId="77777777" w:rsidR="00C820B8" w:rsidRPr="0064652A" w:rsidRDefault="00000000">
            <w:pPr>
              <w:rPr>
                <w:color w:val="000000"/>
                <w:sz w:val="20"/>
                <w:szCs w:val="20"/>
              </w:rPr>
            </w:pPr>
            <w:hyperlink w:anchor="sigs" w:history="1">
              <w:r w:rsidR="008D7FC6" w:rsidRPr="0064652A">
                <w:rPr>
                  <w:color w:val="0000EE"/>
                  <w:sz w:val="20"/>
                  <w:szCs w:val="20"/>
                  <w:u w:val="single" w:color="0000EE"/>
                </w:rPr>
                <w:t>SIGNATURES</w:t>
              </w:r>
            </w:hyperlink>
          </w:p>
        </w:tc>
        <w:tc>
          <w:tcPr>
            <w:tcW w:w="250" w:type="pct"/>
            <w:tcMar>
              <w:top w:w="5" w:type="dxa"/>
              <w:left w:w="5" w:type="dxa"/>
              <w:bottom w:w="5" w:type="dxa"/>
              <w:right w:w="5" w:type="dxa"/>
            </w:tcMar>
            <w:vAlign w:val="bottom"/>
            <w:hideMark/>
          </w:tcPr>
          <w:p w14:paraId="13E93092" w14:textId="77777777" w:rsidR="00C820B8" w:rsidRPr="0064652A" w:rsidRDefault="00000000">
            <w:pPr>
              <w:jc w:val="right"/>
              <w:rPr>
                <w:color w:val="000000"/>
                <w:sz w:val="20"/>
                <w:szCs w:val="20"/>
              </w:rPr>
            </w:pPr>
            <w:hyperlink w:anchor="sigs" w:history="1">
              <w:r w:rsidR="008D7FC6" w:rsidRPr="0064652A">
                <w:rPr>
                  <w:color w:val="0000EE"/>
                  <w:sz w:val="20"/>
                  <w:szCs w:val="20"/>
                  <w:u w:val="single" w:color="0000EE"/>
                </w:rPr>
                <w:t>21</w:t>
              </w:r>
            </w:hyperlink>
          </w:p>
        </w:tc>
      </w:tr>
    </w:tbl>
    <w:p w14:paraId="331DCE67" w14:textId="77777777" w:rsidR="00C820B8" w:rsidRPr="0064652A" w:rsidRDefault="008D7FC6">
      <w:r w:rsidRPr="0064652A">
        <w:t> </w:t>
      </w:r>
    </w:p>
    <w:p w14:paraId="1984112C" w14:textId="77777777" w:rsidR="00C820B8" w:rsidRPr="0064652A" w:rsidRDefault="008D7FC6">
      <w:pPr>
        <w:rPr>
          <w:sz w:val="20"/>
          <w:szCs w:val="20"/>
        </w:rPr>
      </w:pPr>
      <w:r w:rsidRPr="0064652A">
        <w:rPr>
          <w:sz w:val="20"/>
          <w:szCs w:val="20"/>
        </w:rPr>
        <w:t> </w:t>
      </w:r>
    </w:p>
    <w:p w14:paraId="7A9390F5" w14:textId="77777777" w:rsidR="00C820B8" w:rsidRPr="0064652A" w:rsidRDefault="008D7FC6">
      <w:pPr>
        <w:jc w:val="center"/>
        <w:rPr>
          <w:sz w:val="20"/>
          <w:szCs w:val="20"/>
        </w:rPr>
      </w:pPr>
      <w:r w:rsidRPr="0064652A">
        <w:rPr>
          <w:sz w:val="20"/>
          <w:szCs w:val="20"/>
        </w:rPr>
        <w:t>2</w:t>
      </w:r>
    </w:p>
    <w:p w14:paraId="0A2D0E41"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7D8881D7" w14:textId="77777777" w:rsidR="00C820B8" w:rsidRPr="0064652A" w:rsidRDefault="008D7FC6">
      <w:pPr>
        <w:rPr>
          <w:sz w:val="20"/>
          <w:szCs w:val="20"/>
        </w:rPr>
      </w:pPr>
      <w:r w:rsidRPr="0064652A">
        <w:rPr>
          <w:sz w:val="20"/>
          <w:szCs w:val="20"/>
        </w:rPr>
        <w:t> </w:t>
      </w:r>
    </w:p>
    <w:p w14:paraId="78EA1814" w14:textId="77777777" w:rsidR="00C820B8" w:rsidRPr="0064652A" w:rsidRDefault="008D7FC6">
      <w:r w:rsidRPr="0064652A">
        <w:t> </w:t>
      </w:r>
    </w:p>
    <w:p w14:paraId="47AAA496" w14:textId="77777777" w:rsidR="00C820B8" w:rsidRPr="0064652A" w:rsidRDefault="008D7FC6">
      <w:pPr>
        <w:jc w:val="center"/>
        <w:rPr>
          <w:sz w:val="20"/>
          <w:szCs w:val="20"/>
        </w:rPr>
      </w:pPr>
      <w:bookmarkStart w:id="4" w:name="parti"/>
      <w:bookmarkEnd w:id="4"/>
      <w:r w:rsidRPr="0064652A">
        <w:rPr>
          <w:b/>
          <w:bCs/>
          <w:sz w:val="20"/>
          <w:szCs w:val="20"/>
        </w:rPr>
        <w:t xml:space="preserve">PART I </w:t>
      </w:r>
      <w:r w:rsidRPr="0064652A">
        <w:rPr>
          <w:sz w:val="20"/>
          <w:szCs w:val="20"/>
        </w:rPr>
        <w:t>—</w:t>
      </w:r>
      <w:r w:rsidRPr="0064652A">
        <w:rPr>
          <w:b/>
          <w:bCs/>
          <w:sz w:val="20"/>
          <w:szCs w:val="20"/>
        </w:rPr>
        <w:t xml:space="preserve"> FINANCIAL INFORMATION</w:t>
      </w:r>
    </w:p>
    <w:p w14:paraId="7878E8ED" w14:textId="77777777" w:rsidR="00C820B8" w:rsidRPr="0064652A" w:rsidRDefault="008D7FC6">
      <w:pPr>
        <w:rPr>
          <w:sz w:val="20"/>
          <w:szCs w:val="20"/>
        </w:rPr>
      </w:pPr>
      <w:r w:rsidRPr="0064652A">
        <w:rPr>
          <w:sz w:val="20"/>
          <w:szCs w:val="20"/>
        </w:rPr>
        <w:t> </w:t>
      </w:r>
    </w:p>
    <w:p w14:paraId="518CD584" w14:textId="77777777" w:rsidR="00C820B8" w:rsidRPr="0064652A" w:rsidRDefault="008D7FC6">
      <w:pPr>
        <w:rPr>
          <w:sz w:val="20"/>
          <w:szCs w:val="20"/>
        </w:rPr>
      </w:pPr>
      <w:r w:rsidRPr="0064652A">
        <w:rPr>
          <w:sz w:val="20"/>
          <w:szCs w:val="20"/>
        </w:rPr>
        <w:t> </w:t>
      </w:r>
    </w:p>
    <w:p w14:paraId="22E807E4" w14:textId="77777777" w:rsidR="00C820B8" w:rsidRPr="0064652A" w:rsidRDefault="008D7FC6">
      <w:pPr>
        <w:rPr>
          <w:sz w:val="20"/>
          <w:szCs w:val="20"/>
        </w:rPr>
      </w:pPr>
      <w:r w:rsidRPr="0064652A">
        <w:rPr>
          <w:b/>
          <w:bCs/>
          <w:sz w:val="20"/>
          <w:szCs w:val="20"/>
        </w:rPr>
        <w:t>Item</w:t>
      </w:r>
      <w:r w:rsidRPr="0064652A">
        <w:rPr>
          <w:sz w:val="20"/>
          <w:szCs w:val="20"/>
        </w:rPr>
        <w:t> </w:t>
      </w:r>
      <w:r w:rsidRPr="0064652A">
        <w:rPr>
          <w:b/>
          <w:bCs/>
          <w:sz w:val="20"/>
          <w:szCs w:val="20"/>
        </w:rPr>
        <w:t>1. Financial Statements.</w:t>
      </w:r>
      <w:r w:rsidRPr="0064652A">
        <w:rPr>
          <w:rStyle w:val="ins"/>
          <w:sz w:val="20"/>
          <w:szCs w:val="20"/>
        </w:rPr>
        <w:t xml:space="preserve"> </w:t>
      </w:r>
    </w:p>
    <w:p w14:paraId="3A836EA0" w14:textId="77777777" w:rsidR="00C820B8" w:rsidRPr="0064652A" w:rsidRDefault="008D7FC6">
      <w:pPr>
        <w:rPr>
          <w:sz w:val="20"/>
          <w:szCs w:val="20"/>
        </w:rPr>
      </w:pPr>
      <w:r w:rsidRPr="0064652A">
        <w:rPr>
          <w:sz w:val="20"/>
          <w:szCs w:val="20"/>
        </w:rPr>
        <w:t> </w:t>
      </w:r>
    </w:p>
    <w:p w14:paraId="5F37BDD3" w14:textId="77777777" w:rsidR="00C820B8" w:rsidRPr="0064652A" w:rsidRDefault="008D7FC6">
      <w:pPr>
        <w:ind w:left="160" w:firstLine="500"/>
        <w:rPr>
          <w:sz w:val="20"/>
          <w:szCs w:val="20"/>
        </w:rPr>
      </w:pPr>
      <w:r w:rsidRPr="0064652A">
        <w:rPr>
          <w:sz w:val="20"/>
          <w:szCs w:val="20"/>
        </w:rPr>
        <w:t>The Company recently engaged a new independent registered public accounting firm and such firm has not yet completed its review of the unaudited interim consolidated financial statements as of, and for the three and nine months ended December 31, 2023 presented in this Quarterly Report on Form 10-Q, in accordance with Public Company Accounting Oversight Board Auditing Standard 4105, </w:t>
      </w:r>
      <w:r w:rsidRPr="0064652A">
        <w:rPr>
          <w:i/>
          <w:iCs/>
          <w:sz w:val="20"/>
          <w:szCs w:val="20"/>
        </w:rPr>
        <w:t xml:space="preserve">Reviews of Interim Financial Information. </w:t>
      </w:r>
      <w:r w:rsidRPr="0064652A">
        <w:rPr>
          <w:sz w:val="20"/>
          <w:szCs w:val="20"/>
        </w:rPr>
        <w:t>Accordingly, this Quarterly Report on Form 10-Q is considered substantially deficient and the Company is no longer considered to be timely or current in its filings under the Securities Exchange Act of 1934, as amended (the “Exchange Act”). Once the registered public accounting firm has completed its review of the financial statements in this Quarterly Report on Form 10-Q, the Company plans to remediate the deficiency by filing an appropriate amendment to this Quarterly Report on Form 10-Q with the Securities and Exchange Commission (“SEC”).</w:t>
      </w:r>
    </w:p>
    <w:p w14:paraId="787A2F5A" w14:textId="77777777" w:rsidR="00C820B8" w:rsidRPr="0064652A" w:rsidRDefault="008D7FC6">
      <w:pPr>
        <w:ind w:left="160"/>
        <w:rPr>
          <w:sz w:val="20"/>
          <w:szCs w:val="20"/>
        </w:rPr>
      </w:pPr>
      <w:r w:rsidRPr="0064652A">
        <w:rPr>
          <w:sz w:val="20"/>
          <w:szCs w:val="20"/>
        </w:rPr>
        <w:t> </w:t>
      </w:r>
    </w:p>
    <w:p w14:paraId="02777886" w14:textId="77777777" w:rsidR="00C820B8" w:rsidRPr="0064652A" w:rsidRDefault="008D7FC6">
      <w:pPr>
        <w:ind w:left="160" w:firstLine="500"/>
        <w:rPr>
          <w:sz w:val="20"/>
          <w:szCs w:val="20"/>
        </w:rPr>
      </w:pPr>
      <w:r w:rsidRPr="0064652A">
        <w:rPr>
          <w:sz w:val="20"/>
          <w:szCs w:val="20"/>
        </w:rPr>
        <w:t>While this Quarterly Report on Form 10-Q does not comply with the requirements of Regulation S-X, and should not be interpreted to be a substitute for the review that would normally occur by the Company’s independent registered public accounting firm, the Company’s management believes that the interim financial information presented herein fairly presents, in all material respects, the financial condition and results of operations of the Company as of the end of and for the referenced periods. Except for the absence of this review of the unaudited interim financial information discussed above, this Quarterly Report on Form 10-Q fully complies with the requirements of the Exchange Act and the Company believes it is prudent to file this Quarterly Report on Form 10-Q with the SEC in spite of the current circumstances to provide the financial and other information set forth therein to its stockholders and other interested parties.</w:t>
      </w:r>
    </w:p>
    <w:p w14:paraId="3C5764A7" w14:textId="77777777" w:rsidR="00C820B8" w:rsidRPr="0064652A" w:rsidRDefault="008D7FC6">
      <w:pPr>
        <w:rPr>
          <w:sz w:val="20"/>
          <w:szCs w:val="20"/>
        </w:rPr>
      </w:pPr>
      <w:r w:rsidRPr="0064652A">
        <w:rPr>
          <w:sz w:val="20"/>
          <w:szCs w:val="20"/>
        </w:rPr>
        <w:t> </w:t>
      </w:r>
    </w:p>
    <w:p w14:paraId="7FBD2871" w14:textId="77777777" w:rsidR="00C820B8" w:rsidRPr="0064652A" w:rsidRDefault="008D7FC6">
      <w:pPr>
        <w:rPr>
          <w:sz w:val="20"/>
          <w:szCs w:val="20"/>
        </w:rPr>
      </w:pPr>
      <w:r w:rsidRPr="0064652A">
        <w:rPr>
          <w:sz w:val="20"/>
          <w:szCs w:val="20"/>
        </w:rPr>
        <w:t> </w:t>
      </w:r>
    </w:p>
    <w:p w14:paraId="16C57CBA" w14:textId="77777777" w:rsidR="00C820B8" w:rsidRPr="0064652A" w:rsidRDefault="008D7FC6">
      <w:pPr>
        <w:rPr>
          <w:sz w:val="20"/>
          <w:szCs w:val="20"/>
        </w:rPr>
      </w:pPr>
      <w:r w:rsidRPr="0064652A">
        <w:rPr>
          <w:sz w:val="20"/>
          <w:szCs w:val="20"/>
        </w:rPr>
        <w:t> </w:t>
      </w:r>
    </w:p>
    <w:p w14:paraId="314EA0D8" w14:textId="77777777" w:rsidR="00C820B8" w:rsidRPr="0064652A" w:rsidRDefault="008D7FC6">
      <w:pPr>
        <w:jc w:val="center"/>
        <w:rPr>
          <w:sz w:val="20"/>
          <w:szCs w:val="20"/>
        </w:rPr>
      </w:pPr>
      <w:r w:rsidRPr="0064652A">
        <w:rPr>
          <w:b/>
          <w:bCs/>
          <w:sz w:val="20"/>
          <w:szCs w:val="20"/>
        </w:rPr>
        <w:t>EMERSON RADIO CORP. AND SUBSIDIARIES</w:t>
      </w:r>
    </w:p>
    <w:p w14:paraId="307D5DEE" w14:textId="77777777" w:rsidR="00C820B8" w:rsidRPr="0064652A" w:rsidRDefault="008D7FC6">
      <w:pPr>
        <w:jc w:val="center"/>
        <w:rPr>
          <w:sz w:val="20"/>
          <w:szCs w:val="20"/>
        </w:rPr>
      </w:pPr>
      <w:r w:rsidRPr="0064652A">
        <w:rPr>
          <w:b/>
          <w:bCs/>
          <w:sz w:val="20"/>
          <w:szCs w:val="20"/>
        </w:rPr>
        <w:t>CONSOLIDATED STATEMENTS OF OPERATIONS</w:t>
      </w:r>
    </w:p>
    <w:p w14:paraId="548936AC" w14:textId="77777777" w:rsidR="00C820B8" w:rsidRPr="0064652A" w:rsidRDefault="008D7FC6">
      <w:pPr>
        <w:jc w:val="center"/>
        <w:rPr>
          <w:sz w:val="20"/>
          <w:szCs w:val="20"/>
        </w:rPr>
      </w:pPr>
      <w:r w:rsidRPr="0064652A">
        <w:rPr>
          <w:b/>
          <w:bCs/>
          <w:sz w:val="20"/>
          <w:szCs w:val="20"/>
        </w:rPr>
        <w:t>(Unaudited)</w:t>
      </w:r>
    </w:p>
    <w:p w14:paraId="2F033BB4" w14:textId="77777777" w:rsidR="00C820B8" w:rsidRPr="0064652A" w:rsidRDefault="008D7FC6">
      <w:pPr>
        <w:jc w:val="center"/>
        <w:rPr>
          <w:sz w:val="20"/>
          <w:szCs w:val="20"/>
        </w:rPr>
      </w:pPr>
      <w:r w:rsidRPr="0064652A">
        <w:rPr>
          <w:b/>
          <w:bCs/>
          <w:sz w:val="20"/>
          <w:szCs w:val="20"/>
        </w:rPr>
        <w:t>(In thousands, except per share data)</w:t>
      </w:r>
    </w:p>
    <w:p w14:paraId="2A162C5A" w14:textId="77777777" w:rsidR="00C820B8" w:rsidRPr="0064652A" w:rsidRDefault="008D7FC6">
      <w:pPr>
        <w:jc w:val="center"/>
        <w:rPr>
          <w:sz w:val="20"/>
          <w:szCs w:val="20"/>
        </w:rPr>
      </w:pPr>
      <w:r w:rsidRPr="0064652A">
        <w:rPr>
          <w:sz w:val="20"/>
          <w:szCs w:val="20"/>
        </w:rPr>
        <w:t> </w:t>
      </w:r>
    </w:p>
    <w:tbl>
      <w:tblPr>
        <w:tblStyle w:val="finTable"/>
        <w:tblW w:w="5000" w:type="pct"/>
        <w:tblInd w:w="5" w:type="dxa"/>
        <w:tblCellMar>
          <w:left w:w="0" w:type="dxa"/>
          <w:right w:w="0" w:type="dxa"/>
        </w:tblCellMar>
        <w:tblLook w:val="05E0" w:firstRow="1" w:lastRow="1" w:firstColumn="1" w:lastColumn="1" w:noHBand="0" w:noVBand="1"/>
      </w:tblPr>
      <w:tblGrid>
        <w:gridCol w:w="4967"/>
        <w:gridCol w:w="107"/>
        <w:gridCol w:w="110"/>
        <w:gridCol w:w="1295"/>
        <w:gridCol w:w="107"/>
        <w:gridCol w:w="107"/>
        <w:gridCol w:w="110"/>
        <w:gridCol w:w="971"/>
        <w:gridCol w:w="107"/>
        <w:gridCol w:w="107"/>
        <w:gridCol w:w="110"/>
        <w:gridCol w:w="1296"/>
        <w:gridCol w:w="108"/>
        <w:gridCol w:w="108"/>
        <w:gridCol w:w="110"/>
        <w:gridCol w:w="972"/>
        <w:gridCol w:w="108"/>
      </w:tblGrid>
      <w:tr w:rsidR="00C820B8" w:rsidRPr="0064652A" w14:paraId="0F791691" w14:textId="77777777">
        <w:tc>
          <w:tcPr>
            <w:tcW w:w="2300" w:type="pct"/>
            <w:tcMar>
              <w:top w:w="5" w:type="dxa"/>
              <w:left w:w="5" w:type="dxa"/>
              <w:bottom w:w="5" w:type="dxa"/>
              <w:right w:w="5" w:type="dxa"/>
            </w:tcMar>
            <w:vAlign w:val="bottom"/>
            <w:hideMark/>
          </w:tcPr>
          <w:p w14:paraId="2FB048D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8E85421" w14:textId="77777777" w:rsidR="00C820B8" w:rsidRPr="0064652A" w:rsidRDefault="008D7FC6">
            <w:pPr>
              <w:rPr>
                <w:color w:val="000000"/>
                <w:sz w:val="20"/>
                <w:szCs w:val="20"/>
              </w:rPr>
            </w:pPr>
            <w:r w:rsidRPr="0064652A">
              <w:rPr>
                <w:color w:val="000000"/>
                <w:sz w:val="20"/>
                <w:szCs w:val="20"/>
              </w:rPr>
              <w:t> </w:t>
            </w:r>
          </w:p>
        </w:tc>
        <w:tc>
          <w:tcPr>
            <w:tcW w:w="800" w:type="pct"/>
            <w:gridSpan w:val="6"/>
            <w:tcMar>
              <w:top w:w="5" w:type="dxa"/>
              <w:left w:w="5" w:type="dxa"/>
              <w:bottom w:w="5" w:type="dxa"/>
              <w:right w:w="5" w:type="dxa"/>
            </w:tcMar>
            <w:vAlign w:val="bottom"/>
            <w:hideMark/>
          </w:tcPr>
          <w:p w14:paraId="23F0238C" w14:textId="77777777" w:rsidR="00C820B8" w:rsidRPr="0064652A" w:rsidRDefault="008D7FC6">
            <w:pPr>
              <w:jc w:val="center"/>
              <w:rPr>
                <w:color w:val="000000"/>
                <w:sz w:val="20"/>
                <w:szCs w:val="20"/>
              </w:rPr>
            </w:pPr>
            <w:r w:rsidRPr="0064652A">
              <w:rPr>
                <w:b/>
                <w:bCs/>
                <w:color w:val="000000"/>
                <w:sz w:val="20"/>
                <w:szCs w:val="20"/>
              </w:rPr>
              <w:t>Three Months Ended December 31,</w:t>
            </w:r>
          </w:p>
        </w:tc>
        <w:tc>
          <w:tcPr>
            <w:tcW w:w="50" w:type="pct"/>
            <w:tcMar>
              <w:top w:w="5" w:type="dxa"/>
              <w:left w:w="5" w:type="dxa"/>
              <w:bottom w:w="5" w:type="dxa"/>
              <w:right w:w="5" w:type="dxa"/>
            </w:tcMar>
            <w:vAlign w:val="bottom"/>
            <w:hideMark/>
          </w:tcPr>
          <w:p w14:paraId="4E90761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71048F3" w14:textId="77777777" w:rsidR="00C820B8" w:rsidRPr="0064652A" w:rsidRDefault="008D7FC6">
            <w:pPr>
              <w:rPr>
                <w:color w:val="000000"/>
                <w:sz w:val="20"/>
                <w:szCs w:val="20"/>
              </w:rPr>
            </w:pPr>
            <w:r w:rsidRPr="0064652A">
              <w:rPr>
                <w:color w:val="000000"/>
                <w:sz w:val="20"/>
                <w:szCs w:val="20"/>
              </w:rPr>
              <w:t> </w:t>
            </w:r>
          </w:p>
        </w:tc>
        <w:tc>
          <w:tcPr>
            <w:tcW w:w="800" w:type="pct"/>
            <w:gridSpan w:val="6"/>
            <w:tcMar>
              <w:top w:w="5" w:type="dxa"/>
              <w:left w:w="5" w:type="dxa"/>
              <w:bottom w:w="5" w:type="dxa"/>
              <w:right w:w="5" w:type="dxa"/>
            </w:tcMar>
            <w:vAlign w:val="bottom"/>
            <w:hideMark/>
          </w:tcPr>
          <w:p w14:paraId="66CB42E7" w14:textId="77777777" w:rsidR="00C820B8" w:rsidRPr="0064652A" w:rsidRDefault="008D7FC6">
            <w:pPr>
              <w:jc w:val="center"/>
              <w:rPr>
                <w:color w:val="000000"/>
                <w:sz w:val="20"/>
                <w:szCs w:val="20"/>
              </w:rPr>
            </w:pPr>
            <w:r w:rsidRPr="0064652A">
              <w:rPr>
                <w:b/>
                <w:bCs/>
                <w:color w:val="000000"/>
                <w:sz w:val="20"/>
                <w:szCs w:val="20"/>
              </w:rPr>
              <w:t>Nine Months Ended December 31,</w:t>
            </w:r>
          </w:p>
        </w:tc>
        <w:tc>
          <w:tcPr>
            <w:tcW w:w="50" w:type="pct"/>
            <w:tcMar>
              <w:top w:w="5" w:type="dxa"/>
              <w:left w:w="5" w:type="dxa"/>
              <w:bottom w:w="5" w:type="dxa"/>
              <w:right w:w="5" w:type="dxa"/>
            </w:tcMar>
            <w:vAlign w:val="bottom"/>
            <w:hideMark/>
          </w:tcPr>
          <w:p w14:paraId="1ED293B4" w14:textId="77777777" w:rsidR="00C820B8" w:rsidRPr="0064652A" w:rsidRDefault="008D7FC6">
            <w:pPr>
              <w:rPr>
                <w:color w:val="000000"/>
                <w:sz w:val="20"/>
                <w:szCs w:val="20"/>
              </w:rPr>
            </w:pPr>
            <w:r w:rsidRPr="0064652A">
              <w:rPr>
                <w:color w:val="000000"/>
                <w:sz w:val="20"/>
                <w:szCs w:val="20"/>
              </w:rPr>
              <w:t> </w:t>
            </w:r>
          </w:p>
        </w:tc>
      </w:tr>
      <w:tr w:rsidR="00C820B8" w:rsidRPr="0064652A" w14:paraId="436F62F6" w14:textId="77777777">
        <w:tc>
          <w:tcPr>
            <w:tcW w:w="2300" w:type="pct"/>
            <w:tcMar>
              <w:top w:w="5" w:type="dxa"/>
              <w:left w:w="5" w:type="dxa"/>
              <w:bottom w:w="5" w:type="dxa"/>
              <w:right w:w="5" w:type="dxa"/>
            </w:tcMar>
            <w:vAlign w:val="bottom"/>
            <w:hideMark/>
          </w:tcPr>
          <w:p w14:paraId="336378A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A18F03F" w14:textId="77777777" w:rsidR="00C820B8" w:rsidRPr="0064652A" w:rsidRDefault="008D7FC6">
            <w:pPr>
              <w:rPr>
                <w:color w:val="000000"/>
                <w:sz w:val="20"/>
                <w:szCs w:val="20"/>
              </w:rPr>
            </w:pPr>
            <w:r w:rsidRPr="0064652A">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79C5563C" w14:textId="77777777" w:rsidR="00C820B8" w:rsidRPr="0064652A" w:rsidRDefault="008D7FC6">
            <w:pPr>
              <w:jc w:val="center"/>
              <w:rPr>
                <w:color w:val="000000"/>
                <w:sz w:val="20"/>
                <w:szCs w:val="20"/>
              </w:rPr>
            </w:pPr>
            <w:r w:rsidRPr="0064652A">
              <w:rPr>
                <w:b/>
                <w:bCs/>
                <w:color w:val="000000"/>
                <w:sz w:val="20"/>
                <w:szCs w:val="20"/>
              </w:rPr>
              <w:t>2023</w:t>
            </w:r>
          </w:p>
        </w:tc>
        <w:tc>
          <w:tcPr>
            <w:tcW w:w="50" w:type="pct"/>
            <w:tcMar>
              <w:top w:w="5" w:type="dxa"/>
              <w:left w:w="5" w:type="dxa"/>
              <w:bottom w:w="20" w:type="dxa"/>
              <w:right w:w="5" w:type="dxa"/>
            </w:tcMar>
            <w:vAlign w:val="bottom"/>
            <w:hideMark/>
          </w:tcPr>
          <w:p w14:paraId="228A223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84FCA3D" w14:textId="77777777" w:rsidR="00C820B8" w:rsidRPr="0064652A" w:rsidRDefault="008D7FC6">
            <w:pPr>
              <w:rPr>
                <w:color w:val="000000"/>
                <w:sz w:val="20"/>
                <w:szCs w:val="20"/>
              </w:rPr>
            </w:pPr>
            <w:r w:rsidRPr="0064652A">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180E3E5C" w14:textId="77777777" w:rsidR="00C820B8" w:rsidRPr="0064652A" w:rsidRDefault="008D7FC6">
            <w:pPr>
              <w:jc w:val="center"/>
              <w:rPr>
                <w:color w:val="000000"/>
                <w:sz w:val="20"/>
                <w:szCs w:val="20"/>
              </w:rPr>
            </w:pPr>
            <w:r w:rsidRPr="0064652A">
              <w:rPr>
                <w:b/>
                <w:bCs/>
                <w:color w:val="000000"/>
                <w:sz w:val="20"/>
                <w:szCs w:val="20"/>
              </w:rPr>
              <w:t>2022</w:t>
            </w:r>
          </w:p>
        </w:tc>
        <w:tc>
          <w:tcPr>
            <w:tcW w:w="50" w:type="pct"/>
            <w:tcMar>
              <w:top w:w="5" w:type="dxa"/>
              <w:left w:w="5" w:type="dxa"/>
              <w:bottom w:w="20" w:type="dxa"/>
              <w:right w:w="5" w:type="dxa"/>
            </w:tcMar>
            <w:vAlign w:val="bottom"/>
            <w:hideMark/>
          </w:tcPr>
          <w:p w14:paraId="757B0BB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C7E33F8" w14:textId="77777777" w:rsidR="00C820B8" w:rsidRPr="0064652A" w:rsidRDefault="008D7FC6">
            <w:pPr>
              <w:rPr>
                <w:color w:val="000000"/>
                <w:sz w:val="20"/>
                <w:szCs w:val="20"/>
              </w:rPr>
            </w:pPr>
            <w:r w:rsidRPr="0064652A">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609C708E" w14:textId="77777777" w:rsidR="00C820B8" w:rsidRPr="0064652A" w:rsidRDefault="008D7FC6">
            <w:pPr>
              <w:jc w:val="center"/>
              <w:rPr>
                <w:color w:val="000000"/>
                <w:sz w:val="20"/>
                <w:szCs w:val="20"/>
              </w:rPr>
            </w:pPr>
            <w:r w:rsidRPr="0064652A">
              <w:rPr>
                <w:b/>
                <w:bCs/>
                <w:color w:val="000000"/>
                <w:sz w:val="20"/>
                <w:szCs w:val="20"/>
              </w:rPr>
              <w:t>2023</w:t>
            </w:r>
          </w:p>
        </w:tc>
        <w:tc>
          <w:tcPr>
            <w:tcW w:w="50" w:type="pct"/>
            <w:tcMar>
              <w:top w:w="5" w:type="dxa"/>
              <w:left w:w="5" w:type="dxa"/>
              <w:bottom w:w="20" w:type="dxa"/>
              <w:right w:w="5" w:type="dxa"/>
            </w:tcMar>
            <w:vAlign w:val="bottom"/>
            <w:hideMark/>
          </w:tcPr>
          <w:p w14:paraId="6C96F20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5CF7C03" w14:textId="77777777" w:rsidR="00C820B8" w:rsidRPr="0064652A" w:rsidRDefault="008D7FC6">
            <w:pPr>
              <w:rPr>
                <w:color w:val="000000"/>
                <w:sz w:val="20"/>
                <w:szCs w:val="20"/>
              </w:rPr>
            </w:pPr>
            <w:r w:rsidRPr="0064652A">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33D562F8" w14:textId="77777777" w:rsidR="00C820B8" w:rsidRPr="0064652A" w:rsidRDefault="008D7FC6">
            <w:pPr>
              <w:jc w:val="center"/>
              <w:rPr>
                <w:color w:val="000000"/>
                <w:sz w:val="20"/>
                <w:szCs w:val="20"/>
              </w:rPr>
            </w:pPr>
            <w:r w:rsidRPr="0064652A">
              <w:rPr>
                <w:b/>
                <w:bCs/>
                <w:color w:val="000000"/>
                <w:sz w:val="20"/>
                <w:szCs w:val="20"/>
              </w:rPr>
              <w:t>2022</w:t>
            </w:r>
          </w:p>
        </w:tc>
        <w:tc>
          <w:tcPr>
            <w:tcW w:w="50" w:type="pct"/>
            <w:tcMar>
              <w:top w:w="5" w:type="dxa"/>
              <w:left w:w="5" w:type="dxa"/>
              <w:bottom w:w="20" w:type="dxa"/>
              <w:right w:w="5" w:type="dxa"/>
            </w:tcMar>
            <w:vAlign w:val="bottom"/>
            <w:hideMark/>
          </w:tcPr>
          <w:p w14:paraId="1C42A2E1" w14:textId="77777777" w:rsidR="00C820B8" w:rsidRPr="0064652A" w:rsidRDefault="008D7FC6">
            <w:pPr>
              <w:rPr>
                <w:color w:val="000000"/>
                <w:sz w:val="20"/>
                <w:szCs w:val="20"/>
              </w:rPr>
            </w:pPr>
            <w:r w:rsidRPr="0064652A">
              <w:rPr>
                <w:color w:val="000000"/>
                <w:sz w:val="20"/>
                <w:szCs w:val="20"/>
              </w:rPr>
              <w:t> </w:t>
            </w:r>
          </w:p>
        </w:tc>
      </w:tr>
      <w:tr w:rsidR="00C820B8" w:rsidRPr="0064652A" w14:paraId="32D300C5" w14:textId="77777777">
        <w:tc>
          <w:tcPr>
            <w:tcW w:w="2300" w:type="pct"/>
            <w:tcMar>
              <w:top w:w="5" w:type="dxa"/>
              <w:left w:w="5" w:type="dxa"/>
              <w:bottom w:w="5" w:type="dxa"/>
              <w:right w:w="5" w:type="dxa"/>
            </w:tcMar>
            <w:vAlign w:val="bottom"/>
            <w:hideMark/>
          </w:tcPr>
          <w:p w14:paraId="23344D5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886B6A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319EE2C"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24D2EF18" w14:textId="77777777" w:rsidR="00C820B8" w:rsidRPr="0064652A" w:rsidRDefault="008D7FC6">
            <w:pPr>
              <w:jc w:val="center"/>
              <w:rPr>
                <w:color w:val="000000"/>
                <w:sz w:val="20"/>
                <w:szCs w:val="20"/>
              </w:rPr>
            </w:pPr>
            <w:r w:rsidRPr="0064652A">
              <w:rPr>
                <w:rStyle w:val="ins"/>
                <w:color w:val="000000"/>
                <w:sz w:val="20"/>
                <w:szCs w:val="20"/>
              </w:rPr>
              <w:t>(Not Reviewed)</w:t>
            </w:r>
          </w:p>
        </w:tc>
        <w:tc>
          <w:tcPr>
            <w:tcW w:w="50" w:type="pct"/>
            <w:tcMar>
              <w:top w:w="5" w:type="dxa"/>
              <w:left w:w="5" w:type="dxa"/>
              <w:bottom w:w="5" w:type="dxa"/>
              <w:right w:w="5" w:type="dxa"/>
            </w:tcMar>
            <w:vAlign w:val="bottom"/>
            <w:hideMark/>
          </w:tcPr>
          <w:p w14:paraId="4B2B2EC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2AE77E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A3BFE65"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3A9B11C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A04E14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842EAD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A37D442"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AD6AA83" w14:textId="77777777" w:rsidR="00C820B8" w:rsidRPr="0064652A" w:rsidRDefault="008D7FC6">
            <w:pPr>
              <w:jc w:val="center"/>
              <w:rPr>
                <w:color w:val="000000"/>
                <w:sz w:val="20"/>
                <w:szCs w:val="20"/>
              </w:rPr>
            </w:pPr>
            <w:r w:rsidRPr="0064652A">
              <w:rPr>
                <w:rStyle w:val="ins"/>
                <w:color w:val="000000"/>
                <w:sz w:val="20"/>
                <w:szCs w:val="20"/>
              </w:rPr>
              <w:t>(Not Reviewed)</w:t>
            </w:r>
          </w:p>
        </w:tc>
        <w:tc>
          <w:tcPr>
            <w:tcW w:w="50" w:type="pct"/>
            <w:tcMar>
              <w:top w:w="5" w:type="dxa"/>
              <w:left w:w="5" w:type="dxa"/>
              <w:bottom w:w="5" w:type="dxa"/>
              <w:right w:w="5" w:type="dxa"/>
            </w:tcMar>
            <w:vAlign w:val="bottom"/>
            <w:hideMark/>
          </w:tcPr>
          <w:p w14:paraId="485848D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DEE630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D5ABD7E"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5D24679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8A7A788" w14:textId="77777777" w:rsidR="00C820B8" w:rsidRPr="0064652A" w:rsidRDefault="008D7FC6">
            <w:pPr>
              <w:rPr>
                <w:color w:val="000000"/>
                <w:sz w:val="20"/>
                <w:szCs w:val="20"/>
              </w:rPr>
            </w:pPr>
            <w:r w:rsidRPr="0064652A">
              <w:rPr>
                <w:color w:val="000000"/>
                <w:sz w:val="20"/>
                <w:szCs w:val="20"/>
              </w:rPr>
              <w:t> </w:t>
            </w:r>
          </w:p>
        </w:tc>
      </w:tr>
      <w:tr w:rsidR="00C820B8" w:rsidRPr="0064652A" w14:paraId="5C9FD507" w14:textId="77777777">
        <w:tc>
          <w:tcPr>
            <w:tcW w:w="2300" w:type="pct"/>
            <w:tcMar>
              <w:top w:w="5" w:type="dxa"/>
              <w:left w:w="5" w:type="dxa"/>
              <w:bottom w:w="5" w:type="dxa"/>
              <w:right w:w="5" w:type="dxa"/>
            </w:tcMar>
            <w:vAlign w:val="bottom"/>
            <w:hideMark/>
          </w:tcPr>
          <w:p w14:paraId="63D162C6" w14:textId="77777777" w:rsidR="00C820B8" w:rsidRPr="0064652A" w:rsidRDefault="008D7FC6">
            <w:pPr>
              <w:rPr>
                <w:color w:val="000000"/>
                <w:sz w:val="20"/>
                <w:szCs w:val="20"/>
              </w:rPr>
            </w:pPr>
            <w:r w:rsidRPr="0064652A">
              <w:rPr>
                <w:b/>
                <w:bCs/>
                <w:color w:val="000000"/>
                <w:sz w:val="20"/>
                <w:szCs w:val="20"/>
              </w:rPr>
              <w:t>Net revenues:</w:t>
            </w:r>
          </w:p>
        </w:tc>
        <w:tc>
          <w:tcPr>
            <w:tcW w:w="50" w:type="pct"/>
            <w:tcMar>
              <w:top w:w="5" w:type="dxa"/>
              <w:left w:w="5" w:type="dxa"/>
              <w:bottom w:w="5" w:type="dxa"/>
              <w:right w:w="5" w:type="dxa"/>
            </w:tcMar>
            <w:vAlign w:val="bottom"/>
            <w:hideMark/>
          </w:tcPr>
          <w:p w14:paraId="72C744A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1A0DA9C"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72EF71E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6F1A5F3" w14:textId="77777777" w:rsidR="00C820B8" w:rsidRPr="0064652A" w:rsidRDefault="008D7FC6">
            <w:pPr>
              <w:rPr>
                <w:color w:val="000000"/>
                <w:sz w:val="20"/>
                <w:szCs w:val="20"/>
              </w:rPr>
            </w:pPr>
            <w:r w:rsidRPr="0064652A">
              <w:rPr>
                <w:b/>
                <w:bCs/>
                <w:color w:val="000000"/>
                <w:sz w:val="20"/>
                <w:szCs w:val="20"/>
              </w:rPr>
              <w:t> </w:t>
            </w:r>
          </w:p>
        </w:tc>
        <w:tc>
          <w:tcPr>
            <w:tcW w:w="50" w:type="pct"/>
            <w:tcMar>
              <w:top w:w="5" w:type="dxa"/>
              <w:left w:w="5" w:type="dxa"/>
              <w:bottom w:w="5" w:type="dxa"/>
              <w:right w:w="5" w:type="dxa"/>
            </w:tcMar>
            <w:vAlign w:val="bottom"/>
            <w:hideMark/>
          </w:tcPr>
          <w:p w14:paraId="5F783F0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3160080"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1E1E010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0190FF5" w14:textId="77777777" w:rsidR="00C820B8" w:rsidRPr="0064652A" w:rsidRDefault="008D7FC6">
            <w:pPr>
              <w:rPr>
                <w:color w:val="000000"/>
                <w:sz w:val="20"/>
                <w:szCs w:val="20"/>
              </w:rPr>
            </w:pPr>
            <w:r w:rsidRPr="0064652A">
              <w:rPr>
                <w:b/>
                <w:bCs/>
                <w:color w:val="000000"/>
                <w:sz w:val="20"/>
                <w:szCs w:val="20"/>
              </w:rPr>
              <w:t> </w:t>
            </w:r>
          </w:p>
        </w:tc>
        <w:tc>
          <w:tcPr>
            <w:tcW w:w="50" w:type="pct"/>
            <w:tcMar>
              <w:top w:w="5" w:type="dxa"/>
              <w:left w:w="5" w:type="dxa"/>
              <w:bottom w:w="5" w:type="dxa"/>
              <w:right w:w="5" w:type="dxa"/>
            </w:tcMar>
            <w:vAlign w:val="bottom"/>
            <w:hideMark/>
          </w:tcPr>
          <w:p w14:paraId="5C85CAE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3C5A96F"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2101BA3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A511D2E" w14:textId="77777777" w:rsidR="00C820B8" w:rsidRPr="0064652A" w:rsidRDefault="008D7FC6">
            <w:pPr>
              <w:rPr>
                <w:color w:val="000000"/>
                <w:sz w:val="20"/>
                <w:szCs w:val="20"/>
              </w:rPr>
            </w:pPr>
            <w:r w:rsidRPr="0064652A">
              <w:rPr>
                <w:b/>
                <w:bCs/>
                <w:color w:val="000000"/>
                <w:sz w:val="20"/>
                <w:szCs w:val="20"/>
              </w:rPr>
              <w:t> </w:t>
            </w:r>
          </w:p>
        </w:tc>
        <w:tc>
          <w:tcPr>
            <w:tcW w:w="50" w:type="pct"/>
            <w:tcMar>
              <w:top w:w="5" w:type="dxa"/>
              <w:left w:w="5" w:type="dxa"/>
              <w:bottom w:w="5" w:type="dxa"/>
              <w:right w:w="5" w:type="dxa"/>
            </w:tcMar>
            <w:vAlign w:val="bottom"/>
            <w:hideMark/>
          </w:tcPr>
          <w:p w14:paraId="74D941B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DBA87FB"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07FF901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2485989" w14:textId="77777777" w:rsidR="00C820B8" w:rsidRPr="0064652A" w:rsidRDefault="008D7FC6">
            <w:pPr>
              <w:rPr>
                <w:color w:val="000000"/>
                <w:sz w:val="20"/>
                <w:szCs w:val="20"/>
              </w:rPr>
            </w:pPr>
            <w:r w:rsidRPr="0064652A">
              <w:rPr>
                <w:b/>
                <w:bCs/>
                <w:color w:val="000000"/>
                <w:sz w:val="20"/>
                <w:szCs w:val="20"/>
              </w:rPr>
              <w:t> </w:t>
            </w:r>
          </w:p>
        </w:tc>
      </w:tr>
      <w:tr w:rsidR="00C820B8" w:rsidRPr="0064652A" w14:paraId="78237935" w14:textId="77777777">
        <w:tc>
          <w:tcPr>
            <w:tcW w:w="2300" w:type="pct"/>
            <w:tcMar>
              <w:top w:w="5" w:type="dxa"/>
              <w:left w:w="5" w:type="dxa"/>
              <w:bottom w:w="5" w:type="dxa"/>
              <w:right w:w="5" w:type="dxa"/>
            </w:tcMar>
            <w:vAlign w:val="bottom"/>
            <w:hideMark/>
          </w:tcPr>
          <w:p w14:paraId="7ABC5BE9" w14:textId="77777777" w:rsidR="00C820B8" w:rsidRPr="0064652A" w:rsidRDefault="008D7FC6">
            <w:pPr>
              <w:ind w:left="360"/>
              <w:rPr>
                <w:color w:val="000000"/>
                <w:sz w:val="20"/>
                <w:szCs w:val="20"/>
              </w:rPr>
            </w:pPr>
            <w:r w:rsidRPr="0064652A">
              <w:rPr>
                <w:color w:val="000000"/>
                <w:sz w:val="20"/>
                <w:szCs w:val="20"/>
              </w:rPr>
              <w:t>Net product sales</w:t>
            </w:r>
          </w:p>
        </w:tc>
        <w:tc>
          <w:tcPr>
            <w:tcW w:w="50" w:type="pct"/>
            <w:tcMar>
              <w:top w:w="5" w:type="dxa"/>
              <w:left w:w="5" w:type="dxa"/>
              <w:bottom w:w="5" w:type="dxa"/>
              <w:right w:w="5" w:type="dxa"/>
            </w:tcMar>
            <w:vAlign w:val="bottom"/>
            <w:hideMark/>
          </w:tcPr>
          <w:p w14:paraId="271EE8D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7D748DC"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49130812" w14:textId="77777777" w:rsidR="00C820B8" w:rsidRPr="0064652A" w:rsidRDefault="008D7FC6">
            <w:pPr>
              <w:jc w:val="right"/>
              <w:rPr>
                <w:color w:val="000000"/>
                <w:sz w:val="20"/>
                <w:szCs w:val="20"/>
              </w:rPr>
            </w:pPr>
            <w:r w:rsidRPr="0064652A">
              <w:rPr>
                <w:color w:val="000000"/>
                <w:sz w:val="20"/>
                <w:szCs w:val="20"/>
              </w:rPr>
              <w:t>2,599</w:t>
            </w:r>
          </w:p>
        </w:tc>
        <w:tc>
          <w:tcPr>
            <w:tcW w:w="50" w:type="pct"/>
            <w:noWrap/>
            <w:tcMar>
              <w:top w:w="5" w:type="dxa"/>
              <w:left w:w="5" w:type="dxa"/>
              <w:bottom w:w="5" w:type="dxa"/>
              <w:right w:w="5" w:type="dxa"/>
            </w:tcMar>
            <w:vAlign w:val="bottom"/>
            <w:hideMark/>
          </w:tcPr>
          <w:p w14:paraId="7A2986C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6259F1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C554B24" w14:textId="77777777" w:rsidR="00C820B8" w:rsidRPr="0064652A" w:rsidRDefault="008D7FC6">
            <w:pPr>
              <w:rPr>
                <w:color w:val="000000"/>
                <w:sz w:val="20"/>
                <w:szCs w:val="20"/>
              </w:rPr>
            </w:pPr>
            <w:r w:rsidRPr="0064652A">
              <w:rPr>
                <w:color w:val="000000"/>
                <w:sz w:val="20"/>
                <w:szCs w:val="20"/>
              </w:rPr>
              <w:t>$</w:t>
            </w:r>
          </w:p>
        </w:tc>
        <w:tc>
          <w:tcPr>
            <w:tcW w:w="450" w:type="pct"/>
            <w:tcMar>
              <w:top w:w="5" w:type="dxa"/>
              <w:left w:w="5" w:type="dxa"/>
              <w:bottom w:w="5" w:type="dxa"/>
              <w:right w:w="5" w:type="dxa"/>
            </w:tcMar>
            <w:vAlign w:val="bottom"/>
            <w:hideMark/>
          </w:tcPr>
          <w:p w14:paraId="3F305B60" w14:textId="77777777" w:rsidR="00C820B8" w:rsidRPr="0064652A" w:rsidRDefault="008D7FC6">
            <w:pPr>
              <w:jc w:val="right"/>
              <w:rPr>
                <w:color w:val="000000"/>
                <w:sz w:val="20"/>
                <w:szCs w:val="20"/>
              </w:rPr>
            </w:pPr>
            <w:r w:rsidRPr="0064652A">
              <w:rPr>
                <w:color w:val="000000"/>
                <w:sz w:val="20"/>
                <w:szCs w:val="20"/>
              </w:rPr>
              <w:t>1,704</w:t>
            </w:r>
          </w:p>
        </w:tc>
        <w:tc>
          <w:tcPr>
            <w:tcW w:w="50" w:type="pct"/>
            <w:noWrap/>
            <w:tcMar>
              <w:top w:w="5" w:type="dxa"/>
              <w:left w:w="5" w:type="dxa"/>
              <w:bottom w:w="5" w:type="dxa"/>
              <w:right w:w="5" w:type="dxa"/>
            </w:tcMar>
            <w:vAlign w:val="bottom"/>
            <w:hideMark/>
          </w:tcPr>
          <w:p w14:paraId="3D2E4DA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46639C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0C3DBB7"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04D0D373" w14:textId="77777777" w:rsidR="00C820B8" w:rsidRPr="0064652A" w:rsidRDefault="008D7FC6">
            <w:pPr>
              <w:jc w:val="right"/>
              <w:rPr>
                <w:color w:val="000000"/>
                <w:sz w:val="20"/>
                <w:szCs w:val="20"/>
              </w:rPr>
            </w:pPr>
            <w:r w:rsidRPr="0064652A">
              <w:rPr>
                <w:color w:val="000000"/>
                <w:sz w:val="20"/>
                <w:szCs w:val="20"/>
              </w:rPr>
              <w:t>6,745</w:t>
            </w:r>
          </w:p>
        </w:tc>
        <w:tc>
          <w:tcPr>
            <w:tcW w:w="50" w:type="pct"/>
            <w:noWrap/>
            <w:tcMar>
              <w:top w:w="5" w:type="dxa"/>
              <w:left w:w="5" w:type="dxa"/>
              <w:bottom w:w="5" w:type="dxa"/>
              <w:right w:w="5" w:type="dxa"/>
            </w:tcMar>
            <w:vAlign w:val="bottom"/>
            <w:hideMark/>
          </w:tcPr>
          <w:p w14:paraId="5A4C9FB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8973CF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D0BA121" w14:textId="77777777" w:rsidR="00C820B8" w:rsidRPr="0064652A" w:rsidRDefault="008D7FC6">
            <w:pPr>
              <w:rPr>
                <w:color w:val="000000"/>
                <w:sz w:val="20"/>
                <w:szCs w:val="20"/>
              </w:rPr>
            </w:pPr>
            <w:r w:rsidRPr="0064652A">
              <w:rPr>
                <w:color w:val="000000"/>
                <w:sz w:val="20"/>
                <w:szCs w:val="20"/>
              </w:rPr>
              <w:t>$</w:t>
            </w:r>
          </w:p>
        </w:tc>
        <w:tc>
          <w:tcPr>
            <w:tcW w:w="450" w:type="pct"/>
            <w:tcMar>
              <w:top w:w="5" w:type="dxa"/>
              <w:left w:w="5" w:type="dxa"/>
              <w:bottom w:w="5" w:type="dxa"/>
              <w:right w:w="5" w:type="dxa"/>
            </w:tcMar>
            <w:vAlign w:val="bottom"/>
            <w:hideMark/>
          </w:tcPr>
          <w:p w14:paraId="72316C6A" w14:textId="77777777" w:rsidR="00C820B8" w:rsidRPr="0064652A" w:rsidRDefault="008D7FC6">
            <w:pPr>
              <w:jc w:val="right"/>
              <w:rPr>
                <w:color w:val="000000"/>
                <w:sz w:val="20"/>
                <w:szCs w:val="20"/>
              </w:rPr>
            </w:pPr>
            <w:r w:rsidRPr="0064652A">
              <w:rPr>
                <w:color w:val="000000"/>
                <w:sz w:val="20"/>
                <w:szCs w:val="20"/>
              </w:rPr>
              <w:t>4,335</w:t>
            </w:r>
          </w:p>
        </w:tc>
        <w:tc>
          <w:tcPr>
            <w:tcW w:w="50" w:type="pct"/>
            <w:noWrap/>
            <w:tcMar>
              <w:top w:w="5" w:type="dxa"/>
              <w:left w:w="5" w:type="dxa"/>
              <w:bottom w:w="5" w:type="dxa"/>
              <w:right w:w="5" w:type="dxa"/>
            </w:tcMar>
            <w:vAlign w:val="bottom"/>
            <w:hideMark/>
          </w:tcPr>
          <w:p w14:paraId="6D192168" w14:textId="77777777" w:rsidR="00C820B8" w:rsidRPr="0064652A" w:rsidRDefault="008D7FC6">
            <w:pPr>
              <w:rPr>
                <w:color w:val="000000"/>
                <w:sz w:val="20"/>
                <w:szCs w:val="20"/>
              </w:rPr>
            </w:pPr>
            <w:r w:rsidRPr="0064652A">
              <w:rPr>
                <w:color w:val="000000"/>
                <w:sz w:val="20"/>
                <w:szCs w:val="20"/>
              </w:rPr>
              <w:t> </w:t>
            </w:r>
          </w:p>
        </w:tc>
      </w:tr>
      <w:tr w:rsidR="00C820B8" w:rsidRPr="0064652A" w14:paraId="364812CD" w14:textId="77777777">
        <w:tc>
          <w:tcPr>
            <w:tcW w:w="2300" w:type="pct"/>
            <w:tcMar>
              <w:top w:w="5" w:type="dxa"/>
              <w:left w:w="5" w:type="dxa"/>
              <w:bottom w:w="5" w:type="dxa"/>
              <w:right w:w="5" w:type="dxa"/>
            </w:tcMar>
            <w:vAlign w:val="bottom"/>
            <w:hideMark/>
          </w:tcPr>
          <w:p w14:paraId="03EDCBC9" w14:textId="77777777" w:rsidR="00C820B8" w:rsidRPr="0064652A" w:rsidRDefault="008D7FC6">
            <w:pPr>
              <w:ind w:left="360"/>
              <w:rPr>
                <w:color w:val="000000"/>
                <w:sz w:val="20"/>
                <w:szCs w:val="20"/>
              </w:rPr>
            </w:pPr>
            <w:r w:rsidRPr="0064652A">
              <w:rPr>
                <w:color w:val="000000"/>
                <w:sz w:val="20"/>
                <w:szCs w:val="20"/>
              </w:rPr>
              <w:t>Licensing revenue</w:t>
            </w:r>
          </w:p>
        </w:tc>
        <w:tc>
          <w:tcPr>
            <w:tcW w:w="50" w:type="pct"/>
            <w:tcMar>
              <w:top w:w="5" w:type="dxa"/>
              <w:left w:w="5" w:type="dxa"/>
              <w:bottom w:w="5" w:type="dxa"/>
              <w:right w:w="5" w:type="dxa"/>
            </w:tcMar>
            <w:vAlign w:val="bottom"/>
            <w:hideMark/>
          </w:tcPr>
          <w:p w14:paraId="54AF964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F257E87"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C740598" w14:textId="77777777" w:rsidR="00C820B8" w:rsidRPr="0064652A" w:rsidRDefault="008D7FC6">
            <w:pPr>
              <w:jc w:val="right"/>
              <w:rPr>
                <w:color w:val="000000"/>
                <w:sz w:val="20"/>
                <w:szCs w:val="20"/>
              </w:rPr>
            </w:pPr>
            <w:r w:rsidRPr="0064652A">
              <w:rPr>
                <w:color w:val="000000"/>
                <w:sz w:val="20"/>
                <w:szCs w:val="20"/>
              </w:rPr>
              <w:t>23</w:t>
            </w:r>
          </w:p>
        </w:tc>
        <w:tc>
          <w:tcPr>
            <w:tcW w:w="50" w:type="pct"/>
            <w:noWrap/>
            <w:tcMar>
              <w:top w:w="5" w:type="dxa"/>
              <w:left w:w="5" w:type="dxa"/>
              <w:bottom w:w="20" w:type="dxa"/>
              <w:right w:w="5" w:type="dxa"/>
            </w:tcMar>
            <w:vAlign w:val="bottom"/>
            <w:hideMark/>
          </w:tcPr>
          <w:p w14:paraId="5A07582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6CCE7D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DE80F7B"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2AA6C7BD" w14:textId="77777777" w:rsidR="00C820B8" w:rsidRPr="0064652A" w:rsidRDefault="008D7FC6">
            <w:pPr>
              <w:jc w:val="right"/>
              <w:rPr>
                <w:color w:val="000000"/>
                <w:sz w:val="20"/>
                <w:szCs w:val="20"/>
              </w:rPr>
            </w:pPr>
            <w:r w:rsidRPr="0064652A">
              <w:rPr>
                <w:color w:val="000000"/>
                <w:sz w:val="20"/>
                <w:szCs w:val="20"/>
              </w:rPr>
              <w:t>123</w:t>
            </w:r>
          </w:p>
        </w:tc>
        <w:tc>
          <w:tcPr>
            <w:tcW w:w="50" w:type="pct"/>
            <w:noWrap/>
            <w:tcMar>
              <w:top w:w="5" w:type="dxa"/>
              <w:left w:w="5" w:type="dxa"/>
              <w:bottom w:w="20" w:type="dxa"/>
              <w:right w:w="5" w:type="dxa"/>
            </w:tcMar>
            <w:vAlign w:val="bottom"/>
            <w:hideMark/>
          </w:tcPr>
          <w:p w14:paraId="5B49604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8FF234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EF8A644"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40F723F" w14:textId="77777777" w:rsidR="00C820B8" w:rsidRPr="0064652A" w:rsidRDefault="008D7FC6">
            <w:pPr>
              <w:jc w:val="right"/>
              <w:rPr>
                <w:color w:val="000000"/>
                <w:sz w:val="20"/>
                <w:szCs w:val="20"/>
              </w:rPr>
            </w:pPr>
            <w:r w:rsidRPr="0064652A">
              <w:rPr>
                <w:color w:val="000000"/>
                <w:sz w:val="20"/>
                <w:szCs w:val="20"/>
              </w:rPr>
              <w:t>124</w:t>
            </w:r>
          </w:p>
        </w:tc>
        <w:tc>
          <w:tcPr>
            <w:tcW w:w="50" w:type="pct"/>
            <w:noWrap/>
            <w:tcMar>
              <w:top w:w="5" w:type="dxa"/>
              <w:left w:w="5" w:type="dxa"/>
              <w:bottom w:w="20" w:type="dxa"/>
              <w:right w:w="5" w:type="dxa"/>
            </w:tcMar>
            <w:vAlign w:val="bottom"/>
            <w:hideMark/>
          </w:tcPr>
          <w:p w14:paraId="5F9E91C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14C918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17703DD"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5DDC14BE" w14:textId="77777777" w:rsidR="00C820B8" w:rsidRPr="0064652A" w:rsidRDefault="008D7FC6">
            <w:pPr>
              <w:jc w:val="right"/>
              <w:rPr>
                <w:color w:val="000000"/>
                <w:sz w:val="20"/>
                <w:szCs w:val="20"/>
              </w:rPr>
            </w:pPr>
            <w:r w:rsidRPr="0064652A">
              <w:rPr>
                <w:color w:val="000000"/>
                <w:sz w:val="20"/>
                <w:szCs w:val="20"/>
              </w:rPr>
              <w:t>271</w:t>
            </w:r>
          </w:p>
        </w:tc>
        <w:tc>
          <w:tcPr>
            <w:tcW w:w="50" w:type="pct"/>
            <w:noWrap/>
            <w:tcMar>
              <w:top w:w="5" w:type="dxa"/>
              <w:left w:w="5" w:type="dxa"/>
              <w:bottom w:w="20" w:type="dxa"/>
              <w:right w:w="5" w:type="dxa"/>
            </w:tcMar>
            <w:vAlign w:val="bottom"/>
            <w:hideMark/>
          </w:tcPr>
          <w:p w14:paraId="5F14A699" w14:textId="77777777" w:rsidR="00C820B8" w:rsidRPr="0064652A" w:rsidRDefault="008D7FC6">
            <w:pPr>
              <w:rPr>
                <w:color w:val="000000"/>
                <w:sz w:val="20"/>
                <w:szCs w:val="20"/>
              </w:rPr>
            </w:pPr>
            <w:r w:rsidRPr="0064652A">
              <w:rPr>
                <w:color w:val="000000"/>
                <w:sz w:val="20"/>
                <w:szCs w:val="20"/>
              </w:rPr>
              <w:t> </w:t>
            </w:r>
          </w:p>
        </w:tc>
      </w:tr>
      <w:tr w:rsidR="00C820B8" w:rsidRPr="0064652A" w14:paraId="11CB77F6" w14:textId="77777777">
        <w:tc>
          <w:tcPr>
            <w:tcW w:w="2300" w:type="pct"/>
            <w:tcMar>
              <w:top w:w="5" w:type="dxa"/>
              <w:left w:w="5" w:type="dxa"/>
              <w:bottom w:w="5" w:type="dxa"/>
              <w:right w:w="5" w:type="dxa"/>
            </w:tcMar>
            <w:vAlign w:val="bottom"/>
            <w:hideMark/>
          </w:tcPr>
          <w:p w14:paraId="06060670" w14:textId="77777777" w:rsidR="00C820B8" w:rsidRPr="0064652A" w:rsidRDefault="008D7FC6">
            <w:pPr>
              <w:rPr>
                <w:color w:val="000000"/>
                <w:sz w:val="20"/>
                <w:szCs w:val="20"/>
              </w:rPr>
            </w:pPr>
            <w:r w:rsidRPr="0064652A">
              <w:rPr>
                <w:color w:val="000000"/>
                <w:sz w:val="20"/>
                <w:szCs w:val="20"/>
              </w:rPr>
              <w:t>       Royalty income</w:t>
            </w:r>
          </w:p>
        </w:tc>
        <w:tc>
          <w:tcPr>
            <w:tcW w:w="50" w:type="pct"/>
            <w:tcMar>
              <w:top w:w="5" w:type="dxa"/>
              <w:left w:w="5" w:type="dxa"/>
              <w:bottom w:w="5" w:type="dxa"/>
              <w:right w:w="5" w:type="dxa"/>
            </w:tcMar>
            <w:vAlign w:val="bottom"/>
            <w:hideMark/>
          </w:tcPr>
          <w:p w14:paraId="3031A080"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AE70F9C"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D4ECDF5"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233FF44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78A9A62"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B519EF5" w14:textId="77777777" w:rsidR="00C820B8" w:rsidRPr="0064652A" w:rsidRDefault="008D7FC6">
            <w:pPr>
              <w:rPr>
                <w:color w:val="000000"/>
                <w:sz w:val="20"/>
                <w:szCs w:val="20"/>
              </w:rPr>
            </w:pPr>
            <w:r w:rsidRPr="0064652A">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54BF26D" w14:textId="77777777" w:rsidR="00C820B8" w:rsidRPr="0064652A" w:rsidRDefault="008D7FC6">
            <w:pPr>
              <w:jc w:val="right"/>
              <w:rPr>
                <w:color w:val="000000"/>
                <w:sz w:val="20"/>
                <w:szCs w:val="20"/>
              </w:rPr>
            </w:pPr>
            <w:r w:rsidRPr="0064652A">
              <w:rPr>
                <w:color w:val="000000"/>
                <w:sz w:val="20"/>
                <w:szCs w:val="20"/>
              </w:rPr>
              <w:t>105</w:t>
            </w:r>
          </w:p>
        </w:tc>
        <w:tc>
          <w:tcPr>
            <w:tcW w:w="50" w:type="pct"/>
            <w:noWrap/>
            <w:tcMar>
              <w:top w:w="5" w:type="dxa"/>
              <w:left w:w="5" w:type="dxa"/>
              <w:bottom w:w="5" w:type="dxa"/>
              <w:right w:w="5" w:type="dxa"/>
            </w:tcMar>
            <w:vAlign w:val="bottom"/>
            <w:hideMark/>
          </w:tcPr>
          <w:p w14:paraId="1D9FF5C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CA46CEC"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AF351DA"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3981A46"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4D34AF7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93D5A39"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1BB3AA9" w14:textId="77777777" w:rsidR="00C820B8" w:rsidRPr="0064652A" w:rsidRDefault="008D7FC6">
            <w:pPr>
              <w:rPr>
                <w:color w:val="000000"/>
                <w:sz w:val="20"/>
                <w:szCs w:val="20"/>
              </w:rPr>
            </w:pPr>
            <w:r w:rsidRPr="0064652A">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6C64C45" w14:textId="77777777" w:rsidR="00C820B8" w:rsidRPr="0064652A" w:rsidRDefault="008D7FC6">
            <w:pPr>
              <w:jc w:val="right"/>
              <w:rPr>
                <w:color w:val="000000"/>
                <w:sz w:val="20"/>
                <w:szCs w:val="20"/>
              </w:rPr>
            </w:pPr>
            <w:r w:rsidRPr="0064652A">
              <w:rPr>
                <w:color w:val="000000"/>
                <w:sz w:val="20"/>
                <w:szCs w:val="20"/>
              </w:rPr>
              <w:t>700</w:t>
            </w:r>
          </w:p>
        </w:tc>
        <w:tc>
          <w:tcPr>
            <w:tcW w:w="50" w:type="pct"/>
            <w:noWrap/>
            <w:tcMar>
              <w:top w:w="5" w:type="dxa"/>
              <w:left w:w="5" w:type="dxa"/>
              <w:bottom w:w="5" w:type="dxa"/>
              <w:right w:w="5" w:type="dxa"/>
            </w:tcMar>
            <w:vAlign w:val="bottom"/>
            <w:hideMark/>
          </w:tcPr>
          <w:p w14:paraId="4068DBF7" w14:textId="77777777" w:rsidR="00C820B8" w:rsidRPr="0064652A" w:rsidRDefault="008D7FC6">
            <w:pPr>
              <w:rPr>
                <w:color w:val="000000"/>
                <w:sz w:val="20"/>
                <w:szCs w:val="20"/>
              </w:rPr>
            </w:pPr>
            <w:r w:rsidRPr="0064652A">
              <w:rPr>
                <w:color w:val="000000"/>
                <w:sz w:val="20"/>
                <w:szCs w:val="20"/>
              </w:rPr>
              <w:t> </w:t>
            </w:r>
          </w:p>
        </w:tc>
      </w:tr>
      <w:tr w:rsidR="00C820B8" w:rsidRPr="0064652A" w14:paraId="03884405" w14:textId="77777777">
        <w:tc>
          <w:tcPr>
            <w:tcW w:w="2300" w:type="pct"/>
            <w:tcMar>
              <w:top w:w="5" w:type="dxa"/>
              <w:left w:w="5" w:type="dxa"/>
              <w:bottom w:w="5" w:type="dxa"/>
              <w:right w:w="5" w:type="dxa"/>
            </w:tcMar>
            <w:vAlign w:val="bottom"/>
            <w:hideMark/>
          </w:tcPr>
          <w:p w14:paraId="45C5DB0E" w14:textId="77777777" w:rsidR="00C820B8" w:rsidRPr="0064652A" w:rsidRDefault="008D7FC6">
            <w:pPr>
              <w:ind w:left="360"/>
              <w:rPr>
                <w:color w:val="000000"/>
                <w:sz w:val="20"/>
                <w:szCs w:val="20"/>
              </w:rPr>
            </w:pPr>
            <w:r w:rsidRPr="0064652A">
              <w:rPr>
                <w:color w:val="000000"/>
                <w:sz w:val="20"/>
                <w:szCs w:val="20"/>
              </w:rPr>
              <w:t>Net revenues</w:t>
            </w:r>
          </w:p>
        </w:tc>
        <w:tc>
          <w:tcPr>
            <w:tcW w:w="50" w:type="pct"/>
            <w:tcMar>
              <w:top w:w="5" w:type="dxa"/>
              <w:left w:w="5" w:type="dxa"/>
              <w:bottom w:w="5" w:type="dxa"/>
              <w:right w:w="5" w:type="dxa"/>
            </w:tcMar>
            <w:vAlign w:val="bottom"/>
            <w:hideMark/>
          </w:tcPr>
          <w:p w14:paraId="527174E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59E0945"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7AD68FFA" w14:textId="77777777" w:rsidR="00C820B8" w:rsidRPr="0064652A" w:rsidRDefault="008D7FC6">
            <w:pPr>
              <w:jc w:val="right"/>
              <w:rPr>
                <w:color w:val="000000"/>
                <w:sz w:val="20"/>
                <w:szCs w:val="20"/>
              </w:rPr>
            </w:pPr>
            <w:r w:rsidRPr="0064652A">
              <w:rPr>
                <w:color w:val="000000"/>
                <w:sz w:val="20"/>
                <w:szCs w:val="20"/>
              </w:rPr>
              <w:t>2,622</w:t>
            </w:r>
          </w:p>
        </w:tc>
        <w:tc>
          <w:tcPr>
            <w:tcW w:w="50" w:type="pct"/>
            <w:noWrap/>
            <w:tcMar>
              <w:top w:w="5" w:type="dxa"/>
              <w:left w:w="5" w:type="dxa"/>
              <w:bottom w:w="5" w:type="dxa"/>
              <w:right w:w="5" w:type="dxa"/>
            </w:tcMar>
            <w:vAlign w:val="bottom"/>
            <w:hideMark/>
          </w:tcPr>
          <w:p w14:paraId="145E69F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5135A2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2758F6F"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030C814D" w14:textId="77777777" w:rsidR="00C820B8" w:rsidRPr="0064652A" w:rsidRDefault="008D7FC6">
            <w:pPr>
              <w:jc w:val="right"/>
              <w:rPr>
                <w:color w:val="000000"/>
                <w:sz w:val="20"/>
                <w:szCs w:val="20"/>
              </w:rPr>
            </w:pPr>
            <w:r w:rsidRPr="0064652A">
              <w:rPr>
                <w:color w:val="000000"/>
                <w:sz w:val="20"/>
                <w:szCs w:val="20"/>
              </w:rPr>
              <w:t>1,932</w:t>
            </w:r>
          </w:p>
        </w:tc>
        <w:tc>
          <w:tcPr>
            <w:tcW w:w="50" w:type="pct"/>
            <w:noWrap/>
            <w:tcMar>
              <w:top w:w="5" w:type="dxa"/>
              <w:left w:w="5" w:type="dxa"/>
              <w:bottom w:w="5" w:type="dxa"/>
              <w:right w:w="5" w:type="dxa"/>
            </w:tcMar>
            <w:vAlign w:val="bottom"/>
            <w:hideMark/>
          </w:tcPr>
          <w:p w14:paraId="11C910A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98FF06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2061F7E"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4FF30595" w14:textId="77777777" w:rsidR="00C820B8" w:rsidRPr="0064652A" w:rsidRDefault="008D7FC6">
            <w:pPr>
              <w:jc w:val="right"/>
              <w:rPr>
                <w:color w:val="000000"/>
                <w:sz w:val="20"/>
                <w:szCs w:val="20"/>
              </w:rPr>
            </w:pPr>
            <w:r w:rsidRPr="0064652A">
              <w:rPr>
                <w:color w:val="000000"/>
                <w:sz w:val="20"/>
                <w:szCs w:val="20"/>
              </w:rPr>
              <w:t>6,869</w:t>
            </w:r>
          </w:p>
        </w:tc>
        <w:tc>
          <w:tcPr>
            <w:tcW w:w="50" w:type="pct"/>
            <w:noWrap/>
            <w:tcMar>
              <w:top w:w="5" w:type="dxa"/>
              <w:left w:w="5" w:type="dxa"/>
              <w:bottom w:w="5" w:type="dxa"/>
              <w:right w:w="5" w:type="dxa"/>
            </w:tcMar>
            <w:vAlign w:val="bottom"/>
            <w:hideMark/>
          </w:tcPr>
          <w:p w14:paraId="3929F2A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94FD6F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6F6FF87"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6CB59530" w14:textId="77777777" w:rsidR="00C820B8" w:rsidRPr="0064652A" w:rsidRDefault="008D7FC6">
            <w:pPr>
              <w:jc w:val="right"/>
              <w:rPr>
                <w:color w:val="000000"/>
                <w:sz w:val="20"/>
                <w:szCs w:val="20"/>
              </w:rPr>
            </w:pPr>
            <w:r w:rsidRPr="0064652A">
              <w:rPr>
                <w:color w:val="000000"/>
                <w:sz w:val="20"/>
                <w:szCs w:val="20"/>
              </w:rPr>
              <w:t>5,306</w:t>
            </w:r>
          </w:p>
        </w:tc>
        <w:tc>
          <w:tcPr>
            <w:tcW w:w="50" w:type="pct"/>
            <w:noWrap/>
            <w:tcMar>
              <w:top w:w="5" w:type="dxa"/>
              <w:left w:w="5" w:type="dxa"/>
              <w:bottom w:w="5" w:type="dxa"/>
              <w:right w:w="5" w:type="dxa"/>
            </w:tcMar>
            <w:vAlign w:val="bottom"/>
            <w:hideMark/>
          </w:tcPr>
          <w:p w14:paraId="0D2946A8" w14:textId="77777777" w:rsidR="00C820B8" w:rsidRPr="0064652A" w:rsidRDefault="008D7FC6">
            <w:pPr>
              <w:rPr>
                <w:color w:val="000000"/>
                <w:sz w:val="20"/>
                <w:szCs w:val="20"/>
              </w:rPr>
            </w:pPr>
            <w:r w:rsidRPr="0064652A">
              <w:rPr>
                <w:color w:val="000000"/>
                <w:sz w:val="20"/>
                <w:szCs w:val="20"/>
              </w:rPr>
              <w:t> </w:t>
            </w:r>
          </w:p>
        </w:tc>
      </w:tr>
      <w:tr w:rsidR="00C820B8" w:rsidRPr="0064652A" w14:paraId="7D77900C" w14:textId="77777777">
        <w:tc>
          <w:tcPr>
            <w:tcW w:w="2300" w:type="pct"/>
            <w:tcMar>
              <w:top w:w="5" w:type="dxa"/>
              <w:left w:w="5" w:type="dxa"/>
              <w:bottom w:w="5" w:type="dxa"/>
              <w:right w:w="5" w:type="dxa"/>
            </w:tcMar>
            <w:vAlign w:val="bottom"/>
            <w:hideMark/>
          </w:tcPr>
          <w:p w14:paraId="1DA63502" w14:textId="77777777" w:rsidR="00C820B8" w:rsidRPr="0064652A" w:rsidRDefault="008D7FC6">
            <w:pPr>
              <w:rPr>
                <w:color w:val="000000"/>
                <w:sz w:val="20"/>
                <w:szCs w:val="20"/>
              </w:rPr>
            </w:pPr>
            <w:r w:rsidRPr="0064652A">
              <w:rPr>
                <w:b/>
                <w:bCs/>
                <w:color w:val="000000"/>
                <w:sz w:val="20"/>
                <w:szCs w:val="20"/>
              </w:rPr>
              <w:t>Costs and expenses:</w:t>
            </w:r>
          </w:p>
        </w:tc>
        <w:tc>
          <w:tcPr>
            <w:tcW w:w="50" w:type="pct"/>
            <w:tcMar>
              <w:top w:w="5" w:type="dxa"/>
              <w:left w:w="5" w:type="dxa"/>
              <w:bottom w:w="5" w:type="dxa"/>
              <w:right w:w="5" w:type="dxa"/>
            </w:tcMar>
            <w:vAlign w:val="bottom"/>
            <w:hideMark/>
          </w:tcPr>
          <w:p w14:paraId="0C4C424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49677C0"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7B7CED2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2A38475" w14:textId="77777777" w:rsidR="00C820B8" w:rsidRPr="0064652A" w:rsidRDefault="008D7FC6">
            <w:pPr>
              <w:rPr>
                <w:color w:val="000000"/>
                <w:sz w:val="20"/>
                <w:szCs w:val="20"/>
              </w:rPr>
            </w:pPr>
            <w:r w:rsidRPr="0064652A">
              <w:rPr>
                <w:b/>
                <w:bCs/>
                <w:color w:val="000000"/>
                <w:sz w:val="20"/>
                <w:szCs w:val="20"/>
              </w:rPr>
              <w:t> </w:t>
            </w:r>
          </w:p>
        </w:tc>
        <w:tc>
          <w:tcPr>
            <w:tcW w:w="50" w:type="pct"/>
            <w:tcMar>
              <w:top w:w="5" w:type="dxa"/>
              <w:left w:w="5" w:type="dxa"/>
              <w:bottom w:w="5" w:type="dxa"/>
              <w:right w:w="5" w:type="dxa"/>
            </w:tcMar>
            <w:vAlign w:val="bottom"/>
            <w:hideMark/>
          </w:tcPr>
          <w:p w14:paraId="561D3D7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ACBEA94"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3BF3134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737204B" w14:textId="77777777" w:rsidR="00C820B8" w:rsidRPr="0064652A" w:rsidRDefault="008D7FC6">
            <w:pPr>
              <w:rPr>
                <w:color w:val="000000"/>
                <w:sz w:val="20"/>
                <w:szCs w:val="20"/>
              </w:rPr>
            </w:pPr>
            <w:r w:rsidRPr="0064652A">
              <w:rPr>
                <w:b/>
                <w:bCs/>
                <w:color w:val="000000"/>
                <w:sz w:val="20"/>
                <w:szCs w:val="20"/>
              </w:rPr>
              <w:t> </w:t>
            </w:r>
          </w:p>
        </w:tc>
        <w:tc>
          <w:tcPr>
            <w:tcW w:w="50" w:type="pct"/>
            <w:tcMar>
              <w:top w:w="5" w:type="dxa"/>
              <w:left w:w="5" w:type="dxa"/>
              <w:bottom w:w="5" w:type="dxa"/>
              <w:right w:w="5" w:type="dxa"/>
            </w:tcMar>
            <w:vAlign w:val="bottom"/>
            <w:hideMark/>
          </w:tcPr>
          <w:p w14:paraId="18DEE27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9A2EDEF"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A8EC99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2D83837" w14:textId="77777777" w:rsidR="00C820B8" w:rsidRPr="0064652A" w:rsidRDefault="008D7FC6">
            <w:pPr>
              <w:rPr>
                <w:color w:val="000000"/>
                <w:sz w:val="20"/>
                <w:szCs w:val="20"/>
              </w:rPr>
            </w:pPr>
            <w:r w:rsidRPr="0064652A">
              <w:rPr>
                <w:b/>
                <w:bCs/>
                <w:color w:val="000000"/>
                <w:sz w:val="20"/>
                <w:szCs w:val="20"/>
              </w:rPr>
              <w:t> </w:t>
            </w:r>
          </w:p>
        </w:tc>
        <w:tc>
          <w:tcPr>
            <w:tcW w:w="50" w:type="pct"/>
            <w:tcMar>
              <w:top w:w="5" w:type="dxa"/>
              <w:left w:w="5" w:type="dxa"/>
              <w:bottom w:w="5" w:type="dxa"/>
              <w:right w:w="5" w:type="dxa"/>
            </w:tcMar>
            <w:vAlign w:val="bottom"/>
            <w:hideMark/>
          </w:tcPr>
          <w:p w14:paraId="0BF15CB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57E9DF0"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257DE8A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A5296FE" w14:textId="77777777" w:rsidR="00C820B8" w:rsidRPr="0064652A" w:rsidRDefault="008D7FC6">
            <w:pPr>
              <w:rPr>
                <w:color w:val="000000"/>
                <w:sz w:val="20"/>
                <w:szCs w:val="20"/>
              </w:rPr>
            </w:pPr>
            <w:r w:rsidRPr="0064652A">
              <w:rPr>
                <w:b/>
                <w:bCs/>
                <w:color w:val="000000"/>
                <w:sz w:val="20"/>
                <w:szCs w:val="20"/>
              </w:rPr>
              <w:t> </w:t>
            </w:r>
          </w:p>
        </w:tc>
      </w:tr>
      <w:tr w:rsidR="00C820B8" w:rsidRPr="0064652A" w14:paraId="73BDF9F0" w14:textId="77777777">
        <w:tc>
          <w:tcPr>
            <w:tcW w:w="2300" w:type="pct"/>
            <w:tcMar>
              <w:top w:w="5" w:type="dxa"/>
              <w:left w:w="5" w:type="dxa"/>
              <w:bottom w:w="5" w:type="dxa"/>
              <w:right w:w="5" w:type="dxa"/>
            </w:tcMar>
            <w:vAlign w:val="bottom"/>
            <w:hideMark/>
          </w:tcPr>
          <w:p w14:paraId="6EDE0D46" w14:textId="77777777" w:rsidR="00C820B8" w:rsidRPr="0064652A" w:rsidRDefault="008D7FC6">
            <w:pPr>
              <w:ind w:left="360"/>
              <w:rPr>
                <w:color w:val="000000"/>
                <w:sz w:val="20"/>
                <w:szCs w:val="20"/>
              </w:rPr>
            </w:pPr>
            <w:r w:rsidRPr="0064652A">
              <w:rPr>
                <w:color w:val="000000"/>
                <w:sz w:val="20"/>
                <w:szCs w:val="20"/>
              </w:rPr>
              <w:t>Cost of sales</w:t>
            </w:r>
          </w:p>
        </w:tc>
        <w:tc>
          <w:tcPr>
            <w:tcW w:w="50" w:type="pct"/>
            <w:tcMar>
              <w:top w:w="5" w:type="dxa"/>
              <w:left w:w="5" w:type="dxa"/>
              <w:bottom w:w="5" w:type="dxa"/>
              <w:right w:w="5" w:type="dxa"/>
            </w:tcMar>
            <w:vAlign w:val="bottom"/>
            <w:hideMark/>
          </w:tcPr>
          <w:p w14:paraId="57B02C7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CA5C830"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EFDAAD0" w14:textId="77777777" w:rsidR="00C820B8" w:rsidRPr="0064652A" w:rsidRDefault="008D7FC6">
            <w:pPr>
              <w:jc w:val="right"/>
              <w:rPr>
                <w:color w:val="000000"/>
                <w:sz w:val="20"/>
                <w:szCs w:val="20"/>
              </w:rPr>
            </w:pPr>
            <w:r w:rsidRPr="0064652A">
              <w:rPr>
                <w:color w:val="000000"/>
                <w:sz w:val="20"/>
                <w:szCs w:val="20"/>
              </w:rPr>
              <w:t>2,144</w:t>
            </w:r>
          </w:p>
        </w:tc>
        <w:tc>
          <w:tcPr>
            <w:tcW w:w="50" w:type="pct"/>
            <w:noWrap/>
            <w:tcMar>
              <w:top w:w="5" w:type="dxa"/>
              <w:left w:w="5" w:type="dxa"/>
              <w:bottom w:w="5" w:type="dxa"/>
              <w:right w:w="5" w:type="dxa"/>
            </w:tcMar>
            <w:vAlign w:val="bottom"/>
            <w:hideMark/>
          </w:tcPr>
          <w:p w14:paraId="048EAB1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045FCF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806CD13"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47F62C0A" w14:textId="77777777" w:rsidR="00C820B8" w:rsidRPr="0064652A" w:rsidRDefault="008D7FC6">
            <w:pPr>
              <w:jc w:val="right"/>
              <w:rPr>
                <w:color w:val="000000"/>
                <w:sz w:val="20"/>
                <w:szCs w:val="20"/>
              </w:rPr>
            </w:pPr>
            <w:r w:rsidRPr="0064652A">
              <w:rPr>
                <w:color w:val="000000"/>
                <w:sz w:val="20"/>
                <w:szCs w:val="20"/>
              </w:rPr>
              <w:t>1,361</w:t>
            </w:r>
          </w:p>
        </w:tc>
        <w:tc>
          <w:tcPr>
            <w:tcW w:w="50" w:type="pct"/>
            <w:noWrap/>
            <w:tcMar>
              <w:top w:w="5" w:type="dxa"/>
              <w:left w:w="5" w:type="dxa"/>
              <w:bottom w:w="5" w:type="dxa"/>
              <w:right w:w="5" w:type="dxa"/>
            </w:tcMar>
            <w:vAlign w:val="bottom"/>
            <w:hideMark/>
          </w:tcPr>
          <w:p w14:paraId="4A04692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643D29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2F3C720"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2D2AD44B" w14:textId="77777777" w:rsidR="00C820B8" w:rsidRPr="0064652A" w:rsidRDefault="008D7FC6">
            <w:pPr>
              <w:jc w:val="right"/>
              <w:rPr>
                <w:color w:val="000000"/>
                <w:sz w:val="20"/>
                <w:szCs w:val="20"/>
              </w:rPr>
            </w:pPr>
            <w:r w:rsidRPr="0064652A">
              <w:rPr>
                <w:color w:val="000000"/>
                <w:sz w:val="20"/>
                <w:szCs w:val="20"/>
              </w:rPr>
              <w:t>5,654</w:t>
            </w:r>
          </w:p>
        </w:tc>
        <w:tc>
          <w:tcPr>
            <w:tcW w:w="50" w:type="pct"/>
            <w:noWrap/>
            <w:tcMar>
              <w:top w:w="5" w:type="dxa"/>
              <w:left w:w="5" w:type="dxa"/>
              <w:bottom w:w="5" w:type="dxa"/>
              <w:right w:w="5" w:type="dxa"/>
            </w:tcMar>
            <w:vAlign w:val="bottom"/>
            <w:hideMark/>
          </w:tcPr>
          <w:p w14:paraId="5F1F078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470AE6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1E019AF"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7D462E1B" w14:textId="77777777" w:rsidR="00C820B8" w:rsidRPr="0064652A" w:rsidRDefault="008D7FC6">
            <w:pPr>
              <w:jc w:val="right"/>
              <w:rPr>
                <w:color w:val="000000"/>
                <w:sz w:val="20"/>
                <w:szCs w:val="20"/>
              </w:rPr>
            </w:pPr>
            <w:r w:rsidRPr="0064652A">
              <w:rPr>
                <w:color w:val="000000"/>
                <w:sz w:val="20"/>
                <w:szCs w:val="20"/>
              </w:rPr>
              <w:t>3,549</w:t>
            </w:r>
          </w:p>
        </w:tc>
        <w:tc>
          <w:tcPr>
            <w:tcW w:w="50" w:type="pct"/>
            <w:noWrap/>
            <w:tcMar>
              <w:top w:w="5" w:type="dxa"/>
              <w:left w:w="5" w:type="dxa"/>
              <w:bottom w:w="5" w:type="dxa"/>
              <w:right w:w="5" w:type="dxa"/>
            </w:tcMar>
            <w:vAlign w:val="bottom"/>
            <w:hideMark/>
          </w:tcPr>
          <w:p w14:paraId="0863B25B" w14:textId="77777777" w:rsidR="00C820B8" w:rsidRPr="0064652A" w:rsidRDefault="008D7FC6">
            <w:pPr>
              <w:rPr>
                <w:color w:val="000000"/>
                <w:sz w:val="20"/>
                <w:szCs w:val="20"/>
              </w:rPr>
            </w:pPr>
            <w:r w:rsidRPr="0064652A">
              <w:rPr>
                <w:color w:val="000000"/>
                <w:sz w:val="20"/>
                <w:szCs w:val="20"/>
              </w:rPr>
              <w:t> </w:t>
            </w:r>
          </w:p>
        </w:tc>
      </w:tr>
      <w:tr w:rsidR="00C820B8" w:rsidRPr="0064652A" w14:paraId="6A42EFBA" w14:textId="77777777">
        <w:tc>
          <w:tcPr>
            <w:tcW w:w="2300" w:type="pct"/>
            <w:tcMar>
              <w:top w:w="5" w:type="dxa"/>
              <w:left w:w="5" w:type="dxa"/>
              <w:bottom w:w="5" w:type="dxa"/>
              <w:right w:w="5" w:type="dxa"/>
            </w:tcMar>
            <w:vAlign w:val="bottom"/>
            <w:hideMark/>
          </w:tcPr>
          <w:p w14:paraId="5A2A64D2" w14:textId="77777777" w:rsidR="00C820B8" w:rsidRPr="0064652A" w:rsidRDefault="008D7FC6">
            <w:pPr>
              <w:ind w:left="360"/>
              <w:rPr>
                <w:color w:val="000000"/>
                <w:sz w:val="20"/>
                <w:szCs w:val="20"/>
              </w:rPr>
            </w:pPr>
            <w:r w:rsidRPr="0064652A">
              <w:rPr>
                <w:color w:val="000000"/>
                <w:sz w:val="20"/>
                <w:szCs w:val="20"/>
              </w:rPr>
              <w:t>Selling, general and administrative expenses</w:t>
            </w:r>
          </w:p>
        </w:tc>
        <w:tc>
          <w:tcPr>
            <w:tcW w:w="50" w:type="pct"/>
            <w:tcMar>
              <w:top w:w="5" w:type="dxa"/>
              <w:left w:w="5" w:type="dxa"/>
              <w:bottom w:w="20" w:type="dxa"/>
              <w:right w:w="5" w:type="dxa"/>
            </w:tcMar>
            <w:vAlign w:val="bottom"/>
            <w:hideMark/>
          </w:tcPr>
          <w:p w14:paraId="276AB737"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403742D"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38CA8DB" w14:textId="77777777" w:rsidR="00C820B8" w:rsidRPr="0064652A" w:rsidRDefault="008D7FC6">
            <w:pPr>
              <w:jc w:val="right"/>
              <w:rPr>
                <w:color w:val="000000"/>
                <w:sz w:val="20"/>
                <w:szCs w:val="20"/>
              </w:rPr>
            </w:pPr>
            <w:r w:rsidRPr="0064652A">
              <w:rPr>
                <w:color w:val="000000"/>
                <w:sz w:val="20"/>
                <w:szCs w:val="20"/>
              </w:rPr>
              <w:t>1,202</w:t>
            </w:r>
          </w:p>
        </w:tc>
        <w:tc>
          <w:tcPr>
            <w:tcW w:w="50" w:type="pct"/>
            <w:noWrap/>
            <w:tcMar>
              <w:top w:w="5" w:type="dxa"/>
              <w:left w:w="5" w:type="dxa"/>
              <w:bottom w:w="20" w:type="dxa"/>
              <w:right w:w="5" w:type="dxa"/>
            </w:tcMar>
            <w:vAlign w:val="bottom"/>
            <w:hideMark/>
          </w:tcPr>
          <w:p w14:paraId="5636B07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0B1D06C6"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3999439" w14:textId="77777777" w:rsidR="00C820B8" w:rsidRPr="0064652A" w:rsidRDefault="008D7FC6">
            <w:pPr>
              <w:rPr>
                <w:color w:val="000000"/>
                <w:sz w:val="20"/>
                <w:szCs w:val="20"/>
              </w:rPr>
            </w:pPr>
            <w:r w:rsidRPr="0064652A">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5D834AF" w14:textId="77777777" w:rsidR="00C820B8" w:rsidRPr="0064652A" w:rsidRDefault="008D7FC6">
            <w:pPr>
              <w:jc w:val="right"/>
              <w:rPr>
                <w:color w:val="000000"/>
                <w:sz w:val="20"/>
                <w:szCs w:val="20"/>
              </w:rPr>
            </w:pPr>
            <w:r w:rsidRPr="0064652A">
              <w:rPr>
                <w:color w:val="000000"/>
                <w:sz w:val="20"/>
                <w:szCs w:val="20"/>
              </w:rPr>
              <w:t>1,051</w:t>
            </w:r>
          </w:p>
        </w:tc>
        <w:tc>
          <w:tcPr>
            <w:tcW w:w="50" w:type="pct"/>
            <w:noWrap/>
            <w:tcMar>
              <w:top w:w="5" w:type="dxa"/>
              <w:left w:w="5" w:type="dxa"/>
              <w:bottom w:w="20" w:type="dxa"/>
              <w:right w:w="5" w:type="dxa"/>
            </w:tcMar>
            <w:vAlign w:val="bottom"/>
            <w:hideMark/>
          </w:tcPr>
          <w:p w14:paraId="3269FFA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2781A0F5"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3089113"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AB256F9" w14:textId="77777777" w:rsidR="00C820B8" w:rsidRPr="0064652A" w:rsidRDefault="008D7FC6">
            <w:pPr>
              <w:jc w:val="right"/>
              <w:rPr>
                <w:color w:val="000000"/>
                <w:sz w:val="20"/>
                <w:szCs w:val="20"/>
              </w:rPr>
            </w:pPr>
            <w:r w:rsidRPr="0064652A">
              <w:rPr>
                <w:color w:val="000000"/>
                <w:sz w:val="20"/>
                <w:szCs w:val="20"/>
              </w:rPr>
              <w:t>3,464</w:t>
            </w:r>
          </w:p>
        </w:tc>
        <w:tc>
          <w:tcPr>
            <w:tcW w:w="50" w:type="pct"/>
            <w:noWrap/>
            <w:tcMar>
              <w:top w:w="5" w:type="dxa"/>
              <w:left w:w="5" w:type="dxa"/>
              <w:bottom w:w="20" w:type="dxa"/>
              <w:right w:w="5" w:type="dxa"/>
            </w:tcMar>
            <w:vAlign w:val="bottom"/>
            <w:hideMark/>
          </w:tcPr>
          <w:p w14:paraId="56BF7CD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0B2499D9"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62EE297" w14:textId="77777777" w:rsidR="00C820B8" w:rsidRPr="0064652A" w:rsidRDefault="008D7FC6">
            <w:pPr>
              <w:rPr>
                <w:color w:val="000000"/>
                <w:sz w:val="20"/>
                <w:szCs w:val="20"/>
              </w:rPr>
            </w:pPr>
            <w:r w:rsidRPr="0064652A">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FB77CA5" w14:textId="77777777" w:rsidR="00C820B8" w:rsidRPr="0064652A" w:rsidRDefault="008D7FC6">
            <w:pPr>
              <w:jc w:val="right"/>
              <w:rPr>
                <w:color w:val="000000"/>
                <w:sz w:val="20"/>
                <w:szCs w:val="20"/>
              </w:rPr>
            </w:pPr>
            <w:r w:rsidRPr="0064652A">
              <w:rPr>
                <w:color w:val="000000"/>
                <w:sz w:val="20"/>
                <w:szCs w:val="20"/>
              </w:rPr>
              <w:t>3,686</w:t>
            </w:r>
          </w:p>
        </w:tc>
        <w:tc>
          <w:tcPr>
            <w:tcW w:w="50" w:type="pct"/>
            <w:noWrap/>
            <w:tcMar>
              <w:top w:w="5" w:type="dxa"/>
              <w:left w:w="5" w:type="dxa"/>
              <w:bottom w:w="20" w:type="dxa"/>
              <w:right w:w="5" w:type="dxa"/>
            </w:tcMar>
            <w:vAlign w:val="bottom"/>
            <w:hideMark/>
          </w:tcPr>
          <w:p w14:paraId="5D358BD9" w14:textId="77777777" w:rsidR="00C820B8" w:rsidRPr="0064652A" w:rsidRDefault="008D7FC6">
            <w:pPr>
              <w:rPr>
                <w:color w:val="000000"/>
                <w:sz w:val="20"/>
                <w:szCs w:val="20"/>
              </w:rPr>
            </w:pPr>
            <w:r w:rsidRPr="0064652A">
              <w:rPr>
                <w:color w:val="000000"/>
                <w:sz w:val="20"/>
                <w:szCs w:val="20"/>
              </w:rPr>
              <w:t> </w:t>
            </w:r>
          </w:p>
        </w:tc>
      </w:tr>
      <w:tr w:rsidR="00C820B8" w:rsidRPr="0064652A" w14:paraId="28074C0B" w14:textId="77777777">
        <w:tc>
          <w:tcPr>
            <w:tcW w:w="2300" w:type="pct"/>
            <w:tcMar>
              <w:top w:w="5" w:type="dxa"/>
              <w:left w:w="5" w:type="dxa"/>
              <w:bottom w:w="5" w:type="dxa"/>
              <w:right w:w="5" w:type="dxa"/>
            </w:tcMar>
            <w:vAlign w:val="bottom"/>
            <w:hideMark/>
          </w:tcPr>
          <w:p w14:paraId="24F3A1FE" w14:textId="77777777" w:rsidR="00C820B8" w:rsidRPr="0064652A" w:rsidRDefault="008D7FC6">
            <w:pPr>
              <w:ind w:left="360"/>
              <w:rPr>
                <w:color w:val="000000"/>
                <w:sz w:val="20"/>
                <w:szCs w:val="20"/>
              </w:rPr>
            </w:pPr>
            <w:r w:rsidRPr="0064652A">
              <w:rPr>
                <w:color w:val="000000"/>
                <w:sz w:val="20"/>
                <w:szCs w:val="20"/>
              </w:rPr>
              <w:t>Total costs and expenses</w:t>
            </w:r>
          </w:p>
        </w:tc>
        <w:tc>
          <w:tcPr>
            <w:tcW w:w="50" w:type="pct"/>
            <w:tcMar>
              <w:top w:w="5" w:type="dxa"/>
              <w:left w:w="5" w:type="dxa"/>
              <w:bottom w:w="20" w:type="dxa"/>
              <w:right w:w="5" w:type="dxa"/>
            </w:tcMar>
            <w:vAlign w:val="bottom"/>
            <w:hideMark/>
          </w:tcPr>
          <w:p w14:paraId="319A4492"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64570D4"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1063C0D" w14:textId="77777777" w:rsidR="00C820B8" w:rsidRPr="0064652A" w:rsidRDefault="008D7FC6">
            <w:pPr>
              <w:jc w:val="right"/>
              <w:rPr>
                <w:color w:val="000000"/>
                <w:sz w:val="20"/>
                <w:szCs w:val="20"/>
              </w:rPr>
            </w:pPr>
            <w:r w:rsidRPr="0064652A">
              <w:rPr>
                <w:color w:val="000000"/>
                <w:sz w:val="20"/>
                <w:szCs w:val="20"/>
              </w:rPr>
              <w:t>3,346</w:t>
            </w:r>
          </w:p>
        </w:tc>
        <w:tc>
          <w:tcPr>
            <w:tcW w:w="50" w:type="pct"/>
            <w:noWrap/>
            <w:tcMar>
              <w:top w:w="5" w:type="dxa"/>
              <w:left w:w="5" w:type="dxa"/>
              <w:bottom w:w="20" w:type="dxa"/>
              <w:right w:w="5" w:type="dxa"/>
            </w:tcMar>
            <w:vAlign w:val="bottom"/>
            <w:hideMark/>
          </w:tcPr>
          <w:p w14:paraId="573A79B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795B5343"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F963AFC" w14:textId="77777777" w:rsidR="00C820B8" w:rsidRPr="0064652A" w:rsidRDefault="008D7FC6">
            <w:pPr>
              <w:rPr>
                <w:color w:val="000000"/>
                <w:sz w:val="20"/>
                <w:szCs w:val="20"/>
              </w:rPr>
            </w:pPr>
            <w:r w:rsidRPr="0064652A">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161A2F4" w14:textId="77777777" w:rsidR="00C820B8" w:rsidRPr="0064652A" w:rsidRDefault="008D7FC6">
            <w:pPr>
              <w:jc w:val="right"/>
              <w:rPr>
                <w:color w:val="000000"/>
                <w:sz w:val="20"/>
                <w:szCs w:val="20"/>
              </w:rPr>
            </w:pPr>
            <w:r w:rsidRPr="0064652A">
              <w:rPr>
                <w:color w:val="000000"/>
                <w:sz w:val="20"/>
                <w:szCs w:val="20"/>
              </w:rPr>
              <w:t>2,412</w:t>
            </w:r>
          </w:p>
        </w:tc>
        <w:tc>
          <w:tcPr>
            <w:tcW w:w="50" w:type="pct"/>
            <w:noWrap/>
            <w:tcMar>
              <w:top w:w="5" w:type="dxa"/>
              <w:left w:w="5" w:type="dxa"/>
              <w:bottom w:w="20" w:type="dxa"/>
              <w:right w:w="5" w:type="dxa"/>
            </w:tcMar>
            <w:vAlign w:val="bottom"/>
            <w:hideMark/>
          </w:tcPr>
          <w:p w14:paraId="19B5101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5237AEC1"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D380A60"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9F2E862" w14:textId="77777777" w:rsidR="00C820B8" w:rsidRPr="0064652A" w:rsidRDefault="008D7FC6">
            <w:pPr>
              <w:jc w:val="right"/>
              <w:rPr>
                <w:color w:val="000000"/>
                <w:sz w:val="20"/>
                <w:szCs w:val="20"/>
              </w:rPr>
            </w:pPr>
            <w:r w:rsidRPr="0064652A">
              <w:rPr>
                <w:color w:val="000000"/>
                <w:sz w:val="20"/>
                <w:szCs w:val="20"/>
              </w:rPr>
              <w:t>9,118</w:t>
            </w:r>
          </w:p>
        </w:tc>
        <w:tc>
          <w:tcPr>
            <w:tcW w:w="50" w:type="pct"/>
            <w:noWrap/>
            <w:tcMar>
              <w:top w:w="5" w:type="dxa"/>
              <w:left w:w="5" w:type="dxa"/>
              <w:bottom w:w="20" w:type="dxa"/>
              <w:right w:w="5" w:type="dxa"/>
            </w:tcMar>
            <w:vAlign w:val="bottom"/>
            <w:hideMark/>
          </w:tcPr>
          <w:p w14:paraId="66C9B37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62F6E173"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433F755" w14:textId="77777777" w:rsidR="00C820B8" w:rsidRPr="0064652A" w:rsidRDefault="008D7FC6">
            <w:pPr>
              <w:rPr>
                <w:color w:val="000000"/>
                <w:sz w:val="20"/>
                <w:szCs w:val="20"/>
              </w:rPr>
            </w:pPr>
            <w:r w:rsidRPr="0064652A">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8A449B3" w14:textId="77777777" w:rsidR="00C820B8" w:rsidRPr="0064652A" w:rsidRDefault="008D7FC6">
            <w:pPr>
              <w:jc w:val="right"/>
              <w:rPr>
                <w:color w:val="000000"/>
                <w:sz w:val="20"/>
                <w:szCs w:val="20"/>
              </w:rPr>
            </w:pPr>
            <w:r w:rsidRPr="0064652A">
              <w:rPr>
                <w:color w:val="000000"/>
                <w:sz w:val="20"/>
                <w:szCs w:val="20"/>
              </w:rPr>
              <w:t>7,235</w:t>
            </w:r>
          </w:p>
        </w:tc>
        <w:tc>
          <w:tcPr>
            <w:tcW w:w="50" w:type="pct"/>
            <w:noWrap/>
            <w:tcMar>
              <w:top w:w="5" w:type="dxa"/>
              <w:left w:w="5" w:type="dxa"/>
              <w:bottom w:w="20" w:type="dxa"/>
              <w:right w:w="5" w:type="dxa"/>
            </w:tcMar>
            <w:vAlign w:val="bottom"/>
            <w:hideMark/>
          </w:tcPr>
          <w:p w14:paraId="61AC3F5A" w14:textId="77777777" w:rsidR="00C820B8" w:rsidRPr="0064652A" w:rsidRDefault="008D7FC6">
            <w:pPr>
              <w:rPr>
                <w:color w:val="000000"/>
                <w:sz w:val="20"/>
                <w:szCs w:val="20"/>
              </w:rPr>
            </w:pPr>
            <w:r w:rsidRPr="0064652A">
              <w:rPr>
                <w:color w:val="000000"/>
                <w:sz w:val="20"/>
                <w:szCs w:val="20"/>
              </w:rPr>
              <w:t> </w:t>
            </w:r>
          </w:p>
        </w:tc>
      </w:tr>
      <w:tr w:rsidR="00C820B8" w:rsidRPr="0064652A" w14:paraId="5CC7B8CD" w14:textId="77777777">
        <w:tc>
          <w:tcPr>
            <w:tcW w:w="2300" w:type="pct"/>
            <w:tcMar>
              <w:top w:w="5" w:type="dxa"/>
              <w:left w:w="5" w:type="dxa"/>
              <w:bottom w:w="5" w:type="dxa"/>
              <w:right w:w="5" w:type="dxa"/>
            </w:tcMar>
            <w:vAlign w:val="bottom"/>
            <w:hideMark/>
          </w:tcPr>
          <w:p w14:paraId="3AFD0E80" w14:textId="77777777" w:rsidR="00C820B8" w:rsidRPr="0064652A" w:rsidRDefault="008D7FC6">
            <w:pPr>
              <w:rPr>
                <w:color w:val="000000"/>
                <w:sz w:val="20"/>
                <w:szCs w:val="20"/>
              </w:rPr>
            </w:pPr>
            <w:r w:rsidRPr="0064652A">
              <w:rPr>
                <w:b/>
                <w:bCs/>
                <w:color w:val="000000"/>
                <w:sz w:val="20"/>
                <w:szCs w:val="20"/>
              </w:rPr>
              <w:t>Operating loss</w:t>
            </w:r>
          </w:p>
        </w:tc>
        <w:tc>
          <w:tcPr>
            <w:tcW w:w="50" w:type="pct"/>
            <w:tcMar>
              <w:top w:w="5" w:type="dxa"/>
              <w:left w:w="5" w:type="dxa"/>
              <w:bottom w:w="5" w:type="dxa"/>
              <w:right w:w="5" w:type="dxa"/>
            </w:tcMar>
            <w:vAlign w:val="bottom"/>
            <w:hideMark/>
          </w:tcPr>
          <w:p w14:paraId="1922097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9D0C55C"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93032AF" w14:textId="77777777" w:rsidR="00C820B8" w:rsidRPr="0064652A" w:rsidRDefault="008D7FC6">
            <w:pPr>
              <w:jc w:val="right"/>
              <w:rPr>
                <w:color w:val="000000"/>
                <w:sz w:val="20"/>
                <w:szCs w:val="20"/>
              </w:rPr>
            </w:pPr>
            <w:r w:rsidRPr="0064652A">
              <w:rPr>
                <w:color w:val="000000"/>
                <w:sz w:val="20"/>
                <w:szCs w:val="20"/>
              </w:rPr>
              <w:t>(724</w:t>
            </w:r>
          </w:p>
        </w:tc>
        <w:tc>
          <w:tcPr>
            <w:tcW w:w="50" w:type="pct"/>
            <w:noWrap/>
            <w:tcMar>
              <w:top w:w="5" w:type="dxa"/>
              <w:left w:w="5" w:type="dxa"/>
              <w:bottom w:w="5" w:type="dxa"/>
              <w:right w:w="5" w:type="dxa"/>
            </w:tcMar>
            <w:vAlign w:val="bottom"/>
            <w:hideMark/>
          </w:tcPr>
          <w:p w14:paraId="791562B9"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44795CC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EE904A6"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4C6443A6" w14:textId="77777777" w:rsidR="00C820B8" w:rsidRPr="0064652A" w:rsidRDefault="008D7FC6">
            <w:pPr>
              <w:jc w:val="right"/>
              <w:rPr>
                <w:color w:val="000000"/>
                <w:sz w:val="20"/>
                <w:szCs w:val="20"/>
              </w:rPr>
            </w:pPr>
            <w:r w:rsidRPr="0064652A">
              <w:rPr>
                <w:color w:val="000000"/>
                <w:sz w:val="20"/>
                <w:szCs w:val="20"/>
              </w:rPr>
              <w:t>(480</w:t>
            </w:r>
          </w:p>
        </w:tc>
        <w:tc>
          <w:tcPr>
            <w:tcW w:w="50" w:type="pct"/>
            <w:noWrap/>
            <w:tcMar>
              <w:top w:w="5" w:type="dxa"/>
              <w:left w:w="5" w:type="dxa"/>
              <w:bottom w:w="5" w:type="dxa"/>
              <w:right w:w="5" w:type="dxa"/>
            </w:tcMar>
            <w:vAlign w:val="bottom"/>
            <w:hideMark/>
          </w:tcPr>
          <w:p w14:paraId="3D840E26"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0E1F8F4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BC8C84C"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0B8F137" w14:textId="77777777" w:rsidR="00C820B8" w:rsidRPr="0064652A" w:rsidRDefault="008D7FC6">
            <w:pPr>
              <w:jc w:val="right"/>
              <w:rPr>
                <w:color w:val="000000"/>
                <w:sz w:val="20"/>
                <w:szCs w:val="20"/>
              </w:rPr>
            </w:pPr>
            <w:r w:rsidRPr="0064652A">
              <w:rPr>
                <w:color w:val="000000"/>
                <w:sz w:val="20"/>
                <w:szCs w:val="20"/>
              </w:rPr>
              <w:t>(2,249</w:t>
            </w:r>
          </w:p>
        </w:tc>
        <w:tc>
          <w:tcPr>
            <w:tcW w:w="50" w:type="pct"/>
            <w:noWrap/>
            <w:tcMar>
              <w:top w:w="5" w:type="dxa"/>
              <w:left w:w="5" w:type="dxa"/>
              <w:bottom w:w="5" w:type="dxa"/>
              <w:right w:w="5" w:type="dxa"/>
            </w:tcMar>
            <w:vAlign w:val="bottom"/>
            <w:hideMark/>
          </w:tcPr>
          <w:p w14:paraId="220A8A26"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09628C0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4A1BEAF"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6C1CFB84" w14:textId="77777777" w:rsidR="00C820B8" w:rsidRPr="0064652A" w:rsidRDefault="008D7FC6">
            <w:pPr>
              <w:jc w:val="right"/>
              <w:rPr>
                <w:color w:val="000000"/>
                <w:sz w:val="20"/>
                <w:szCs w:val="20"/>
              </w:rPr>
            </w:pPr>
            <w:r w:rsidRPr="0064652A">
              <w:rPr>
                <w:color w:val="000000"/>
                <w:sz w:val="20"/>
                <w:szCs w:val="20"/>
              </w:rPr>
              <w:t>(1,929</w:t>
            </w:r>
          </w:p>
        </w:tc>
        <w:tc>
          <w:tcPr>
            <w:tcW w:w="50" w:type="pct"/>
            <w:noWrap/>
            <w:tcMar>
              <w:top w:w="5" w:type="dxa"/>
              <w:left w:w="5" w:type="dxa"/>
              <w:bottom w:w="5" w:type="dxa"/>
              <w:right w:w="5" w:type="dxa"/>
            </w:tcMar>
            <w:vAlign w:val="bottom"/>
            <w:hideMark/>
          </w:tcPr>
          <w:p w14:paraId="2EE9DCC8" w14:textId="77777777" w:rsidR="00C820B8" w:rsidRPr="0064652A" w:rsidRDefault="008D7FC6">
            <w:pPr>
              <w:rPr>
                <w:color w:val="000000"/>
                <w:sz w:val="20"/>
                <w:szCs w:val="20"/>
              </w:rPr>
            </w:pPr>
            <w:r w:rsidRPr="0064652A">
              <w:rPr>
                <w:color w:val="000000"/>
                <w:sz w:val="20"/>
                <w:szCs w:val="20"/>
              </w:rPr>
              <w:t>)</w:t>
            </w:r>
          </w:p>
        </w:tc>
      </w:tr>
      <w:tr w:rsidR="00C820B8" w:rsidRPr="0064652A" w14:paraId="2B5B1155" w14:textId="77777777">
        <w:tc>
          <w:tcPr>
            <w:tcW w:w="2300" w:type="pct"/>
            <w:tcMar>
              <w:top w:w="5" w:type="dxa"/>
              <w:left w:w="5" w:type="dxa"/>
              <w:bottom w:w="5" w:type="dxa"/>
              <w:right w:w="5" w:type="dxa"/>
            </w:tcMar>
            <w:vAlign w:val="bottom"/>
            <w:hideMark/>
          </w:tcPr>
          <w:p w14:paraId="750969A2" w14:textId="77777777" w:rsidR="00C820B8" w:rsidRPr="0064652A" w:rsidRDefault="008D7FC6">
            <w:pPr>
              <w:rPr>
                <w:color w:val="000000"/>
                <w:sz w:val="20"/>
                <w:szCs w:val="20"/>
              </w:rPr>
            </w:pPr>
            <w:r w:rsidRPr="0064652A">
              <w:rPr>
                <w:b/>
                <w:bCs/>
                <w:color w:val="000000"/>
                <w:sz w:val="20"/>
                <w:szCs w:val="20"/>
              </w:rPr>
              <w:t>Other income:</w:t>
            </w:r>
          </w:p>
        </w:tc>
        <w:tc>
          <w:tcPr>
            <w:tcW w:w="50" w:type="pct"/>
            <w:tcMar>
              <w:top w:w="5" w:type="dxa"/>
              <w:left w:w="5" w:type="dxa"/>
              <w:bottom w:w="5" w:type="dxa"/>
              <w:right w:w="5" w:type="dxa"/>
            </w:tcMar>
            <w:vAlign w:val="bottom"/>
            <w:hideMark/>
          </w:tcPr>
          <w:p w14:paraId="052671E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EEC5CBF"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CAEDD3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B69219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B3A171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E958009"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785DC49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04ACCB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09C3A7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47B7A43"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200E3B6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D0A8B5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890015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79028B1"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0075F03C" w14:textId="77777777" w:rsidR="00C820B8" w:rsidRPr="0064652A" w:rsidRDefault="008D7FC6">
            <w:pPr>
              <w:rPr>
                <w:color w:val="000000"/>
                <w:sz w:val="20"/>
                <w:szCs w:val="20"/>
              </w:rPr>
            </w:pPr>
            <w:r w:rsidRPr="0064652A">
              <w:rPr>
                <w:color w:val="000000"/>
                <w:sz w:val="20"/>
                <w:szCs w:val="20"/>
              </w:rPr>
              <w:t> </w:t>
            </w:r>
          </w:p>
        </w:tc>
        <w:tc>
          <w:tcPr>
            <w:tcW w:w="0" w:type="auto"/>
            <w:vAlign w:val="center"/>
            <w:hideMark/>
          </w:tcPr>
          <w:p w14:paraId="478DF0C8" w14:textId="77777777" w:rsidR="00C820B8" w:rsidRPr="0064652A" w:rsidRDefault="00C820B8">
            <w:pPr>
              <w:rPr>
                <w:color w:val="000000"/>
                <w:sz w:val="20"/>
                <w:szCs w:val="20"/>
              </w:rPr>
            </w:pPr>
          </w:p>
        </w:tc>
      </w:tr>
      <w:tr w:rsidR="00C820B8" w:rsidRPr="0064652A" w14:paraId="5F857EEE" w14:textId="77777777">
        <w:tc>
          <w:tcPr>
            <w:tcW w:w="2300" w:type="pct"/>
            <w:tcMar>
              <w:top w:w="5" w:type="dxa"/>
              <w:left w:w="5" w:type="dxa"/>
              <w:bottom w:w="5" w:type="dxa"/>
              <w:right w:w="5" w:type="dxa"/>
            </w:tcMar>
            <w:vAlign w:val="bottom"/>
            <w:hideMark/>
          </w:tcPr>
          <w:p w14:paraId="5FB4C5AA" w14:textId="77777777" w:rsidR="00C820B8" w:rsidRPr="0064652A" w:rsidRDefault="008D7FC6">
            <w:pPr>
              <w:rPr>
                <w:color w:val="000000"/>
                <w:sz w:val="20"/>
                <w:szCs w:val="20"/>
              </w:rPr>
            </w:pPr>
            <w:r w:rsidRPr="0064652A">
              <w:rPr>
                <w:color w:val="000000"/>
                <w:sz w:val="20"/>
                <w:szCs w:val="20"/>
              </w:rPr>
              <w:t>       Settlement of litigation</w:t>
            </w:r>
          </w:p>
        </w:tc>
        <w:tc>
          <w:tcPr>
            <w:tcW w:w="50" w:type="pct"/>
            <w:tcMar>
              <w:top w:w="5" w:type="dxa"/>
              <w:left w:w="5" w:type="dxa"/>
              <w:bottom w:w="5" w:type="dxa"/>
              <w:right w:w="5" w:type="dxa"/>
            </w:tcMar>
            <w:vAlign w:val="bottom"/>
            <w:hideMark/>
          </w:tcPr>
          <w:p w14:paraId="350FF82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0AFD180"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404F378"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3CFCFF8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0E311E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233293B"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6FC1937F"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704471E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CD1E9F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C092369"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5A050F5" w14:textId="77777777" w:rsidR="00C820B8" w:rsidRPr="0064652A" w:rsidRDefault="008D7FC6">
            <w:pPr>
              <w:jc w:val="right"/>
              <w:rPr>
                <w:color w:val="000000"/>
                <w:sz w:val="20"/>
                <w:szCs w:val="20"/>
              </w:rPr>
            </w:pPr>
            <w:r w:rsidRPr="0064652A">
              <w:rPr>
                <w:color w:val="000000"/>
                <w:sz w:val="20"/>
                <w:szCs w:val="20"/>
              </w:rPr>
              <w:t>3,100</w:t>
            </w:r>
          </w:p>
        </w:tc>
        <w:tc>
          <w:tcPr>
            <w:tcW w:w="50" w:type="pct"/>
            <w:noWrap/>
            <w:tcMar>
              <w:top w:w="5" w:type="dxa"/>
              <w:left w:w="5" w:type="dxa"/>
              <w:bottom w:w="5" w:type="dxa"/>
              <w:right w:w="5" w:type="dxa"/>
            </w:tcMar>
            <w:vAlign w:val="bottom"/>
            <w:hideMark/>
          </w:tcPr>
          <w:p w14:paraId="624E8A5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A1EF6E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0F43746"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03F92311"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07C30438" w14:textId="77777777" w:rsidR="00C820B8" w:rsidRPr="0064652A" w:rsidRDefault="008D7FC6">
            <w:pPr>
              <w:rPr>
                <w:color w:val="000000"/>
                <w:sz w:val="20"/>
                <w:szCs w:val="20"/>
              </w:rPr>
            </w:pPr>
            <w:r w:rsidRPr="0064652A">
              <w:rPr>
                <w:color w:val="000000"/>
                <w:sz w:val="20"/>
                <w:szCs w:val="20"/>
              </w:rPr>
              <w:t> </w:t>
            </w:r>
          </w:p>
        </w:tc>
      </w:tr>
      <w:tr w:rsidR="00C820B8" w:rsidRPr="0064652A" w14:paraId="4E57E97E" w14:textId="77777777">
        <w:tc>
          <w:tcPr>
            <w:tcW w:w="2300" w:type="pct"/>
            <w:tcMar>
              <w:top w:w="5" w:type="dxa"/>
              <w:left w:w="5" w:type="dxa"/>
              <w:bottom w:w="5" w:type="dxa"/>
              <w:right w:w="5" w:type="dxa"/>
            </w:tcMar>
            <w:vAlign w:val="bottom"/>
            <w:hideMark/>
          </w:tcPr>
          <w:p w14:paraId="1F635F35" w14:textId="77777777" w:rsidR="00C820B8" w:rsidRPr="0064652A" w:rsidRDefault="008D7FC6">
            <w:pPr>
              <w:ind w:left="360"/>
              <w:rPr>
                <w:color w:val="000000"/>
                <w:sz w:val="20"/>
                <w:szCs w:val="20"/>
              </w:rPr>
            </w:pPr>
            <w:r w:rsidRPr="0064652A">
              <w:rPr>
                <w:color w:val="000000"/>
                <w:sz w:val="20"/>
                <w:szCs w:val="20"/>
              </w:rPr>
              <w:t>Interest income, net</w:t>
            </w:r>
          </w:p>
        </w:tc>
        <w:tc>
          <w:tcPr>
            <w:tcW w:w="50" w:type="pct"/>
            <w:tcMar>
              <w:top w:w="5" w:type="dxa"/>
              <w:left w:w="5" w:type="dxa"/>
              <w:bottom w:w="5" w:type="dxa"/>
              <w:right w:w="5" w:type="dxa"/>
            </w:tcMar>
            <w:vAlign w:val="bottom"/>
            <w:hideMark/>
          </w:tcPr>
          <w:p w14:paraId="4248399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7D523D3"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76CC3FAC" w14:textId="77777777" w:rsidR="00C820B8" w:rsidRPr="0064652A" w:rsidRDefault="008D7FC6">
            <w:pPr>
              <w:jc w:val="right"/>
              <w:rPr>
                <w:color w:val="000000"/>
                <w:sz w:val="20"/>
                <w:szCs w:val="20"/>
              </w:rPr>
            </w:pPr>
            <w:r w:rsidRPr="0064652A">
              <w:rPr>
                <w:color w:val="000000"/>
                <w:sz w:val="20"/>
                <w:szCs w:val="20"/>
              </w:rPr>
              <w:t>289</w:t>
            </w:r>
          </w:p>
        </w:tc>
        <w:tc>
          <w:tcPr>
            <w:tcW w:w="50" w:type="pct"/>
            <w:noWrap/>
            <w:tcMar>
              <w:top w:w="5" w:type="dxa"/>
              <w:left w:w="5" w:type="dxa"/>
              <w:bottom w:w="5" w:type="dxa"/>
              <w:right w:w="5" w:type="dxa"/>
            </w:tcMar>
            <w:vAlign w:val="bottom"/>
            <w:hideMark/>
          </w:tcPr>
          <w:p w14:paraId="14B3AA8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BA1355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288049B"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3725520D" w14:textId="77777777" w:rsidR="00C820B8" w:rsidRPr="0064652A" w:rsidRDefault="008D7FC6">
            <w:pPr>
              <w:jc w:val="right"/>
              <w:rPr>
                <w:color w:val="000000"/>
                <w:sz w:val="20"/>
                <w:szCs w:val="20"/>
              </w:rPr>
            </w:pPr>
            <w:r w:rsidRPr="0064652A">
              <w:rPr>
                <w:color w:val="000000"/>
                <w:sz w:val="20"/>
                <w:szCs w:val="20"/>
              </w:rPr>
              <w:t>235</w:t>
            </w:r>
          </w:p>
        </w:tc>
        <w:tc>
          <w:tcPr>
            <w:tcW w:w="50" w:type="pct"/>
            <w:noWrap/>
            <w:tcMar>
              <w:top w:w="5" w:type="dxa"/>
              <w:left w:w="5" w:type="dxa"/>
              <w:bottom w:w="5" w:type="dxa"/>
              <w:right w:w="5" w:type="dxa"/>
            </w:tcMar>
            <w:vAlign w:val="bottom"/>
            <w:hideMark/>
          </w:tcPr>
          <w:p w14:paraId="2DC988D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793F2A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1D0DA3D"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745153BD" w14:textId="77777777" w:rsidR="00C820B8" w:rsidRPr="0064652A" w:rsidRDefault="008D7FC6">
            <w:pPr>
              <w:jc w:val="right"/>
              <w:rPr>
                <w:color w:val="000000"/>
                <w:sz w:val="20"/>
                <w:szCs w:val="20"/>
              </w:rPr>
            </w:pPr>
            <w:r w:rsidRPr="0064652A">
              <w:rPr>
                <w:color w:val="000000"/>
                <w:sz w:val="20"/>
                <w:szCs w:val="20"/>
              </w:rPr>
              <w:t>872</w:t>
            </w:r>
          </w:p>
        </w:tc>
        <w:tc>
          <w:tcPr>
            <w:tcW w:w="50" w:type="pct"/>
            <w:noWrap/>
            <w:tcMar>
              <w:top w:w="5" w:type="dxa"/>
              <w:left w:w="5" w:type="dxa"/>
              <w:bottom w:w="5" w:type="dxa"/>
              <w:right w:w="5" w:type="dxa"/>
            </w:tcMar>
            <w:vAlign w:val="bottom"/>
            <w:hideMark/>
          </w:tcPr>
          <w:p w14:paraId="6F0663F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3368AC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E777C44"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08E71379" w14:textId="77777777" w:rsidR="00C820B8" w:rsidRPr="0064652A" w:rsidRDefault="008D7FC6">
            <w:pPr>
              <w:jc w:val="right"/>
              <w:rPr>
                <w:color w:val="000000"/>
                <w:sz w:val="20"/>
                <w:szCs w:val="20"/>
              </w:rPr>
            </w:pPr>
            <w:r w:rsidRPr="0064652A">
              <w:rPr>
                <w:color w:val="000000"/>
                <w:sz w:val="20"/>
                <w:szCs w:val="20"/>
              </w:rPr>
              <w:t>424</w:t>
            </w:r>
          </w:p>
        </w:tc>
        <w:tc>
          <w:tcPr>
            <w:tcW w:w="50" w:type="pct"/>
            <w:noWrap/>
            <w:tcMar>
              <w:top w:w="5" w:type="dxa"/>
              <w:left w:w="5" w:type="dxa"/>
              <w:bottom w:w="5" w:type="dxa"/>
              <w:right w:w="5" w:type="dxa"/>
            </w:tcMar>
            <w:vAlign w:val="bottom"/>
            <w:hideMark/>
          </w:tcPr>
          <w:p w14:paraId="23E2C979" w14:textId="77777777" w:rsidR="00C820B8" w:rsidRPr="0064652A" w:rsidRDefault="008D7FC6">
            <w:pPr>
              <w:rPr>
                <w:color w:val="000000"/>
                <w:sz w:val="20"/>
                <w:szCs w:val="20"/>
              </w:rPr>
            </w:pPr>
            <w:r w:rsidRPr="0064652A">
              <w:rPr>
                <w:color w:val="000000"/>
                <w:sz w:val="20"/>
                <w:szCs w:val="20"/>
              </w:rPr>
              <w:t> </w:t>
            </w:r>
          </w:p>
        </w:tc>
      </w:tr>
      <w:tr w:rsidR="00C820B8" w:rsidRPr="0064652A" w14:paraId="65C8EEED" w14:textId="77777777">
        <w:tc>
          <w:tcPr>
            <w:tcW w:w="2300" w:type="pct"/>
            <w:tcMar>
              <w:top w:w="5" w:type="dxa"/>
              <w:left w:w="5" w:type="dxa"/>
              <w:bottom w:w="5" w:type="dxa"/>
              <w:right w:w="5" w:type="dxa"/>
            </w:tcMar>
            <w:vAlign w:val="bottom"/>
            <w:hideMark/>
          </w:tcPr>
          <w:p w14:paraId="1DA56C01" w14:textId="77777777" w:rsidR="00C820B8" w:rsidRPr="0064652A" w:rsidRDefault="008D7FC6">
            <w:pPr>
              <w:ind w:left="360"/>
              <w:rPr>
                <w:color w:val="000000"/>
                <w:sz w:val="20"/>
                <w:szCs w:val="20"/>
              </w:rPr>
            </w:pPr>
            <w:r w:rsidRPr="0064652A">
              <w:rPr>
                <w:color w:val="000000"/>
                <w:sz w:val="20"/>
                <w:szCs w:val="20"/>
              </w:rPr>
              <w:t>Income from governmental assistance programs</w:t>
            </w:r>
          </w:p>
        </w:tc>
        <w:tc>
          <w:tcPr>
            <w:tcW w:w="50" w:type="pct"/>
            <w:tcMar>
              <w:top w:w="5" w:type="dxa"/>
              <w:left w:w="5" w:type="dxa"/>
              <w:bottom w:w="20" w:type="dxa"/>
              <w:right w:w="5" w:type="dxa"/>
            </w:tcMar>
            <w:vAlign w:val="bottom"/>
            <w:hideMark/>
          </w:tcPr>
          <w:p w14:paraId="6E2D250C"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4F33086"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0996591"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67DA19D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351DD606"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4A86F42" w14:textId="77777777" w:rsidR="00C820B8" w:rsidRPr="0064652A" w:rsidRDefault="008D7FC6">
            <w:pPr>
              <w:rPr>
                <w:color w:val="000000"/>
                <w:sz w:val="20"/>
                <w:szCs w:val="20"/>
              </w:rPr>
            </w:pPr>
            <w:r w:rsidRPr="0064652A">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CC110F7" w14:textId="77777777" w:rsidR="00C820B8" w:rsidRPr="0064652A" w:rsidRDefault="008D7FC6">
            <w:pPr>
              <w:jc w:val="right"/>
              <w:rPr>
                <w:color w:val="000000"/>
                <w:sz w:val="20"/>
                <w:szCs w:val="20"/>
              </w:rPr>
            </w:pPr>
            <w:r w:rsidRPr="0064652A">
              <w:rPr>
                <w:color w:val="000000"/>
                <w:sz w:val="20"/>
                <w:szCs w:val="20"/>
              </w:rPr>
              <w:t>4</w:t>
            </w:r>
          </w:p>
        </w:tc>
        <w:tc>
          <w:tcPr>
            <w:tcW w:w="50" w:type="pct"/>
            <w:noWrap/>
            <w:tcMar>
              <w:top w:w="5" w:type="dxa"/>
              <w:left w:w="5" w:type="dxa"/>
              <w:bottom w:w="20" w:type="dxa"/>
              <w:right w:w="5" w:type="dxa"/>
            </w:tcMar>
            <w:vAlign w:val="bottom"/>
            <w:hideMark/>
          </w:tcPr>
          <w:p w14:paraId="75B4B35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3050E1C1"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9F1782A"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F9BAEF0"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0292F23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5A624D2B"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8373EC6" w14:textId="77777777" w:rsidR="00C820B8" w:rsidRPr="0064652A" w:rsidRDefault="008D7FC6">
            <w:pPr>
              <w:rPr>
                <w:color w:val="000000"/>
                <w:sz w:val="20"/>
                <w:szCs w:val="20"/>
              </w:rPr>
            </w:pPr>
            <w:r w:rsidRPr="0064652A">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A6FD55F" w14:textId="77777777" w:rsidR="00C820B8" w:rsidRPr="0064652A" w:rsidRDefault="008D7FC6">
            <w:pPr>
              <w:jc w:val="right"/>
              <w:rPr>
                <w:color w:val="000000"/>
                <w:sz w:val="20"/>
                <w:szCs w:val="20"/>
              </w:rPr>
            </w:pPr>
            <w:r w:rsidRPr="0064652A">
              <w:rPr>
                <w:color w:val="000000"/>
                <w:sz w:val="20"/>
                <w:szCs w:val="20"/>
              </w:rPr>
              <w:t>34</w:t>
            </w:r>
          </w:p>
        </w:tc>
        <w:tc>
          <w:tcPr>
            <w:tcW w:w="50" w:type="pct"/>
            <w:noWrap/>
            <w:tcMar>
              <w:top w:w="5" w:type="dxa"/>
              <w:left w:w="5" w:type="dxa"/>
              <w:bottom w:w="20" w:type="dxa"/>
              <w:right w:w="5" w:type="dxa"/>
            </w:tcMar>
            <w:vAlign w:val="bottom"/>
            <w:hideMark/>
          </w:tcPr>
          <w:p w14:paraId="3F597421" w14:textId="77777777" w:rsidR="00C820B8" w:rsidRPr="0064652A" w:rsidRDefault="008D7FC6">
            <w:pPr>
              <w:rPr>
                <w:color w:val="000000"/>
                <w:sz w:val="20"/>
                <w:szCs w:val="20"/>
              </w:rPr>
            </w:pPr>
            <w:r w:rsidRPr="0064652A">
              <w:rPr>
                <w:color w:val="000000"/>
                <w:sz w:val="20"/>
                <w:szCs w:val="20"/>
              </w:rPr>
              <w:t> </w:t>
            </w:r>
          </w:p>
        </w:tc>
      </w:tr>
      <w:tr w:rsidR="00C820B8" w:rsidRPr="0064652A" w14:paraId="13394683" w14:textId="77777777">
        <w:tc>
          <w:tcPr>
            <w:tcW w:w="2300" w:type="pct"/>
            <w:tcMar>
              <w:top w:w="5" w:type="dxa"/>
              <w:left w:w="5" w:type="dxa"/>
              <w:bottom w:w="5" w:type="dxa"/>
              <w:right w:w="5" w:type="dxa"/>
            </w:tcMar>
            <w:vAlign w:val="bottom"/>
            <w:hideMark/>
          </w:tcPr>
          <w:p w14:paraId="6882EB3D" w14:textId="77777777" w:rsidR="00C820B8" w:rsidRPr="0064652A" w:rsidRDefault="008D7FC6">
            <w:pPr>
              <w:rPr>
                <w:color w:val="000000"/>
                <w:sz w:val="20"/>
                <w:szCs w:val="20"/>
              </w:rPr>
            </w:pPr>
            <w:r w:rsidRPr="0064652A">
              <w:rPr>
                <w:b/>
                <w:bCs/>
                <w:color w:val="000000"/>
                <w:sz w:val="20"/>
                <w:szCs w:val="20"/>
              </w:rPr>
              <w:t>Income (loss) before income taxes</w:t>
            </w:r>
          </w:p>
        </w:tc>
        <w:tc>
          <w:tcPr>
            <w:tcW w:w="50" w:type="pct"/>
            <w:tcMar>
              <w:top w:w="5" w:type="dxa"/>
              <w:left w:w="5" w:type="dxa"/>
              <w:bottom w:w="5" w:type="dxa"/>
              <w:right w:w="5" w:type="dxa"/>
            </w:tcMar>
            <w:vAlign w:val="bottom"/>
            <w:hideMark/>
          </w:tcPr>
          <w:p w14:paraId="018767A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29FC84F"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6D44E5A" w14:textId="77777777" w:rsidR="00C820B8" w:rsidRPr="0064652A" w:rsidRDefault="008D7FC6">
            <w:pPr>
              <w:jc w:val="right"/>
              <w:rPr>
                <w:color w:val="000000"/>
                <w:sz w:val="20"/>
                <w:szCs w:val="20"/>
              </w:rPr>
            </w:pPr>
            <w:r w:rsidRPr="0064652A">
              <w:rPr>
                <w:color w:val="000000"/>
                <w:sz w:val="20"/>
                <w:szCs w:val="20"/>
              </w:rPr>
              <w:t>(435</w:t>
            </w:r>
          </w:p>
        </w:tc>
        <w:tc>
          <w:tcPr>
            <w:tcW w:w="50" w:type="pct"/>
            <w:noWrap/>
            <w:tcMar>
              <w:top w:w="5" w:type="dxa"/>
              <w:left w:w="5" w:type="dxa"/>
              <w:bottom w:w="5" w:type="dxa"/>
              <w:right w:w="5" w:type="dxa"/>
            </w:tcMar>
            <w:vAlign w:val="bottom"/>
            <w:hideMark/>
          </w:tcPr>
          <w:p w14:paraId="19CE94DC"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25317E4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6C773FD"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5CB9A233" w14:textId="77777777" w:rsidR="00C820B8" w:rsidRPr="0064652A" w:rsidRDefault="008D7FC6">
            <w:pPr>
              <w:jc w:val="right"/>
              <w:rPr>
                <w:color w:val="000000"/>
                <w:sz w:val="20"/>
                <w:szCs w:val="20"/>
              </w:rPr>
            </w:pPr>
            <w:r w:rsidRPr="0064652A">
              <w:rPr>
                <w:color w:val="000000"/>
                <w:sz w:val="20"/>
                <w:szCs w:val="20"/>
              </w:rPr>
              <w:t>(241</w:t>
            </w:r>
          </w:p>
        </w:tc>
        <w:tc>
          <w:tcPr>
            <w:tcW w:w="50" w:type="pct"/>
            <w:noWrap/>
            <w:tcMar>
              <w:top w:w="5" w:type="dxa"/>
              <w:left w:w="5" w:type="dxa"/>
              <w:bottom w:w="5" w:type="dxa"/>
              <w:right w:w="5" w:type="dxa"/>
            </w:tcMar>
            <w:vAlign w:val="bottom"/>
            <w:hideMark/>
          </w:tcPr>
          <w:p w14:paraId="589070F1"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3849B56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EC100D0"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4D4927F1" w14:textId="77777777" w:rsidR="00C820B8" w:rsidRPr="0064652A" w:rsidRDefault="008D7FC6">
            <w:pPr>
              <w:jc w:val="right"/>
              <w:rPr>
                <w:color w:val="000000"/>
                <w:sz w:val="20"/>
                <w:szCs w:val="20"/>
              </w:rPr>
            </w:pPr>
            <w:r w:rsidRPr="0064652A">
              <w:rPr>
                <w:color w:val="000000"/>
                <w:sz w:val="20"/>
                <w:szCs w:val="20"/>
              </w:rPr>
              <w:t>1,723</w:t>
            </w:r>
          </w:p>
        </w:tc>
        <w:tc>
          <w:tcPr>
            <w:tcW w:w="50" w:type="pct"/>
            <w:noWrap/>
            <w:tcMar>
              <w:top w:w="5" w:type="dxa"/>
              <w:left w:w="5" w:type="dxa"/>
              <w:bottom w:w="5" w:type="dxa"/>
              <w:right w:w="5" w:type="dxa"/>
            </w:tcMar>
            <w:vAlign w:val="bottom"/>
            <w:hideMark/>
          </w:tcPr>
          <w:p w14:paraId="0A8E367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CCC855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D243C17"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1221FDE6" w14:textId="77777777" w:rsidR="00C820B8" w:rsidRPr="0064652A" w:rsidRDefault="008D7FC6">
            <w:pPr>
              <w:jc w:val="right"/>
              <w:rPr>
                <w:color w:val="000000"/>
                <w:sz w:val="20"/>
                <w:szCs w:val="20"/>
              </w:rPr>
            </w:pPr>
            <w:r w:rsidRPr="0064652A">
              <w:rPr>
                <w:color w:val="000000"/>
                <w:sz w:val="20"/>
                <w:szCs w:val="20"/>
              </w:rPr>
              <w:t>(1,471</w:t>
            </w:r>
          </w:p>
        </w:tc>
        <w:tc>
          <w:tcPr>
            <w:tcW w:w="50" w:type="pct"/>
            <w:noWrap/>
            <w:tcMar>
              <w:top w:w="5" w:type="dxa"/>
              <w:left w:w="5" w:type="dxa"/>
              <w:bottom w:w="5" w:type="dxa"/>
              <w:right w:w="5" w:type="dxa"/>
            </w:tcMar>
            <w:vAlign w:val="bottom"/>
            <w:hideMark/>
          </w:tcPr>
          <w:p w14:paraId="3D16153B" w14:textId="77777777" w:rsidR="00C820B8" w:rsidRPr="0064652A" w:rsidRDefault="008D7FC6">
            <w:pPr>
              <w:rPr>
                <w:color w:val="000000"/>
                <w:sz w:val="20"/>
                <w:szCs w:val="20"/>
              </w:rPr>
            </w:pPr>
            <w:r w:rsidRPr="0064652A">
              <w:rPr>
                <w:color w:val="000000"/>
                <w:sz w:val="20"/>
                <w:szCs w:val="20"/>
              </w:rPr>
              <w:t>)</w:t>
            </w:r>
          </w:p>
        </w:tc>
      </w:tr>
      <w:tr w:rsidR="00C820B8" w:rsidRPr="0064652A" w14:paraId="7E031224" w14:textId="77777777">
        <w:tc>
          <w:tcPr>
            <w:tcW w:w="2300" w:type="pct"/>
            <w:tcMar>
              <w:top w:w="5" w:type="dxa"/>
              <w:left w:w="5" w:type="dxa"/>
              <w:bottom w:w="5" w:type="dxa"/>
              <w:right w:w="5" w:type="dxa"/>
            </w:tcMar>
            <w:vAlign w:val="bottom"/>
            <w:hideMark/>
          </w:tcPr>
          <w:p w14:paraId="1752CD69" w14:textId="77777777" w:rsidR="00C820B8" w:rsidRPr="0064652A" w:rsidRDefault="008D7FC6">
            <w:pPr>
              <w:ind w:left="360"/>
              <w:rPr>
                <w:color w:val="000000"/>
                <w:sz w:val="20"/>
                <w:szCs w:val="20"/>
              </w:rPr>
            </w:pPr>
            <w:r w:rsidRPr="0064652A">
              <w:rPr>
                <w:color w:val="000000"/>
                <w:sz w:val="20"/>
                <w:szCs w:val="20"/>
              </w:rPr>
              <w:t>Provision for income tax expense</w:t>
            </w:r>
          </w:p>
        </w:tc>
        <w:tc>
          <w:tcPr>
            <w:tcW w:w="50" w:type="pct"/>
            <w:tcMar>
              <w:top w:w="5" w:type="dxa"/>
              <w:left w:w="5" w:type="dxa"/>
              <w:bottom w:w="20" w:type="dxa"/>
              <w:right w:w="5" w:type="dxa"/>
            </w:tcMar>
            <w:vAlign w:val="bottom"/>
            <w:hideMark/>
          </w:tcPr>
          <w:p w14:paraId="5E9EE300"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0775723"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D568EEA" w14:textId="77777777" w:rsidR="00C820B8" w:rsidRPr="0064652A" w:rsidRDefault="008D7FC6">
            <w:pPr>
              <w:jc w:val="right"/>
              <w:rPr>
                <w:color w:val="000000"/>
                <w:sz w:val="20"/>
                <w:szCs w:val="20"/>
              </w:rPr>
            </w:pPr>
            <w:r w:rsidRPr="0064652A">
              <w:rPr>
                <w:color w:val="000000"/>
                <w:sz w:val="20"/>
                <w:szCs w:val="20"/>
              </w:rPr>
              <w:t>(14</w:t>
            </w:r>
          </w:p>
        </w:tc>
        <w:tc>
          <w:tcPr>
            <w:tcW w:w="50" w:type="pct"/>
            <w:noWrap/>
            <w:tcMar>
              <w:top w:w="5" w:type="dxa"/>
              <w:left w:w="5" w:type="dxa"/>
              <w:bottom w:w="20" w:type="dxa"/>
              <w:right w:w="5" w:type="dxa"/>
            </w:tcMar>
            <w:vAlign w:val="bottom"/>
            <w:hideMark/>
          </w:tcPr>
          <w:p w14:paraId="0CB57F80"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20" w:type="dxa"/>
              <w:right w:w="5" w:type="dxa"/>
            </w:tcMar>
            <w:vAlign w:val="bottom"/>
            <w:hideMark/>
          </w:tcPr>
          <w:p w14:paraId="29E918D5"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E6A7A38" w14:textId="77777777" w:rsidR="00C820B8" w:rsidRPr="0064652A" w:rsidRDefault="008D7FC6">
            <w:pPr>
              <w:rPr>
                <w:color w:val="000000"/>
                <w:sz w:val="20"/>
                <w:szCs w:val="20"/>
              </w:rPr>
            </w:pPr>
            <w:r w:rsidRPr="0064652A">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5DFA431"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6FAAAA5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0156A554"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4113E96"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49AEDBD" w14:textId="77777777" w:rsidR="00C820B8" w:rsidRPr="0064652A" w:rsidRDefault="008D7FC6">
            <w:pPr>
              <w:jc w:val="right"/>
              <w:rPr>
                <w:color w:val="000000"/>
                <w:sz w:val="20"/>
                <w:szCs w:val="20"/>
              </w:rPr>
            </w:pPr>
            <w:r w:rsidRPr="0064652A">
              <w:rPr>
                <w:color w:val="000000"/>
                <w:sz w:val="20"/>
                <w:szCs w:val="20"/>
              </w:rPr>
              <w:t>74</w:t>
            </w:r>
          </w:p>
        </w:tc>
        <w:tc>
          <w:tcPr>
            <w:tcW w:w="50" w:type="pct"/>
            <w:noWrap/>
            <w:tcMar>
              <w:top w:w="5" w:type="dxa"/>
              <w:left w:w="5" w:type="dxa"/>
              <w:bottom w:w="20" w:type="dxa"/>
              <w:right w:w="5" w:type="dxa"/>
            </w:tcMar>
            <w:vAlign w:val="bottom"/>
            <w:hideMark/>
          </w:tcPr>
          <w:p w14:paraId="569F4A9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37FD8861"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465BEF1" w14:textId="77777777" w:rsidR="00C820B8" w:rsidRPr="0064652A" w:rsidRDefault="008D7FC6">
            <w:pPr>
              <w:rPr>
                <w:color w:val="000000"/>
                <w:sz w:val="20"/>
                <w:szCs w:val="20"/>
              </w:rPr>
            </w:pPr>
            <w:r w:rsidRPr="0064652A">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E5AE4E4"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200BC14B" w14:textId="77777777" w:rsidR="00C820B8" w:rsidRPr="0064652A" w:rsidRDefault="008D7FC6">
            <w:pPr>
              <w:rPr>
                <w:color w:val="000000"/>
                <w:sz w:val="20"/>
                <w:szCs w:val="20"/>
              </w:rPr>
            </w:pPr>
            <w:r w:rsidRPr="0064652A">
              <w:rPr>
                <w:color w:val="000000"/>
                <w:sz w:val="20"/>
                <w:szCs w:val="20"/>
              </w:rPr>
              <w:t> </w:t>
            </w:r>
          </w:p>
        </w:tc>
      </w:tr>
      <w:tr w:rsidR="00C820B8" w:rsidRPr="0064652A" w14:paraId="4A91860B" w14:textId="77777777">
        <w:tc>
          <w:tcPr>
            <w:tcW w:w="2300" w:type="pct"/>
            <w:tcMar>
              <w:top w:w="5" w:type="dxa"/>
              <w:left w:w="5" w:type="dxa"/>
              <w:bottom w:w="5" w:type="dxa"/>
              <w:right w:w="5" w:type="dxa"/>
            </w:tcMar>
            <w:vAlign w:val="bottom"/>
            <w:hideMark/>
          </w:tcPr>
          <w:p w14:paraId="56DBDC3F" w14:textId="77777777" w:rsidR="00C820B8" w:rsidRPr="0064652A" w:rsidRDefault="008D7FC6">
            <w:pPr>
              <w:rPr>
                <w:color w:val="000000"/>
                <w:sz w:val="20"/>
                <w:szCs w:val="20"/>
              </w:rPr>
            </w:pPr>
            <w:r w:rsidRPr="0064652A">
              <w:rPr>
                <w:b/>
                <w:bCs/>
                <w:color w:val="000000"/>
                <w:sz w:val="20"/>
                <w:szCs w:val="20"/>
              </w:rPr>
              <w:t>Net income (loss)</w:t>
            </w:r>
          </w:p>
        </w:tc>
        <w:tc>
          <w:tcPr>
            <w:tcW w:w="50" w:type="pct"/>
            <w:tcMar>
              <w:top w:w="5" w:type="dxa"/>
              <w:left w:w="5" w:type="dxa"/>
              <w:bottom w:w="50" w:type="dxa"/>
              <w:right w:w="5" w:type="dxa"/>
            </w:tcMar>
            <w:vAlign w:val="bottom"/>
            <w:hideMark/>
          </w:tcPr>
          <w:p w14:paraId="4B9D4FC0"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D09640B" w14:textId="77777777" w:rsidR="00C820B8" w:rsidRPr="0064652A" w:rsidRDefault="008D7FC6">
            <w:pPr>
              <w:rPr>
                <w:color w:val="000000"/>
                <w:sz w:val="20"/>
                <w:szCs w:val="20"/>
              </w:rPr>
            </w:pPr>
            <w:r w:rsidRPr="0064652A">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1C4FFE66" w14:textId="77777777" w:rsidR="00C820B8" w:rsidRPr="0064652A" w:rsidRDefault="008D7FC6">
            <w:pPr>
              <w:jc w:val="right"/>
              <w:rPr>
                <w:color w:val="000000"/>
                <w:sz w:val="20"/>
                <w:szCs w:val="20"/>
              </w:rPr>
            </w:pPr>
            <w:r w:rsidRPr="0064652A">
              <w:rPr>
                <w:color w:val="000000"/>
                <w:sz w:val="20"/>
                <w:szCs w:val="20"/>
              </w:rPr>
              <w:t>(421</w:t>
            </w:r>
          </w:p>
        </w:tc>
        <w:tc>
          <w:tcPr>
            <w:tcW w:w="50" w:type="pct"/>
            <w:noWrap/>
            <w:tcMar>
              <w:top w:w="5" w:type="dxa"/>
              <w:left w:w="5" w:type="dxa"/>
              <w:bottom w:w="50" w:type="dxa"/>
              <w:right w:w="5" w:type="dxa"/>
            </w:tcMar>
            <w:vAlign w:val="bottom"/>
            <w:hideMark/>
          </w:tcPr>
          <w:p w14:paraId="43DF4108"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0" w:type="dxa"/>
              <w:right w:w="5" w:type="dxa"/>
            </w:tcMar>
            <w:vAlign w:val="bottom"/>
            <w:hideMark/>
          </w:tcPr>
          <w:p w14:paraId="66CEAFAA"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235EBD8" w14:textId="77777777" w:rsidR="00C820B8" w:rsidRPr="0064652A" w:rsidRDefault="008D7FC6">
            <w:pPr>
              <w:rPr>
                <w:color w:val="000000"/>
                <w:sz w:val="20"/>
                <w:szCs w:val="20"/>
              </w:rPr>
            </w:pPr>
            <w:r w:rsidRPr="0064652A">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09A58434" w14:textId="77777777" w:rsidR="00C820B8" w:rsidRPr="0064652A" w:rsidRDefault="008D7FC6">
            <w:pPr>
              <w:jc w:val="right"/>
              <w:rPr>
                <w:color w:val="000000"/>
                <w:sz w:val="20"/>
                <w:szCs w:val="20"/>
              </w:rPr>
            </w:pPr>
            <w:r w:rsidRPr="0064652A">
              <w:rPr>
                <w:color w:val="000000"/>
                <w:sz w:val="20"/>
                <w:szCs w:val="20"/>
              </w:rPr>
              <w:t>(241</w:t>
            </w:r>
          </w:p>
        </w:tc>
        <w:tc>
          <w:tcPr>
            <w:tcW w:w="50" w:type="pct"/>
            <w:noWrap/>
            <w:tcMar>
              <w:top w:w="5" w:type="dxa"/>
              <w:left w:w="5" w:type="dxa"/>
              <w:bottom w:w="50" w:type="dxa"/>
              <w:right w:w="5" w:type="dxa"/>
            </w:tcMar>
            <w:vAlign w:val="bottom"/>
            <w:hideMark/>
          </w:tcPr>
          <w:p w14:paraId="2DCD845A"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0" w:type="dxa"/>
              <w:right w:w="5" w:type="dxa"/>
            </w:tcMar>
            <w:vAlign w:val="bottom"/>
            <w:hideMark/>
          </w:tcPr>
          <w:p w14:paraId="405B32C8"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5B80471" w14:textId="77777777" w:rsidR="00C820B8" w:rsidRPr="0064652A" w:rsidRDefault="008D7FC6">
            <w:pPr>
              <w:rPr>
                <w:color w:val="000000"/>
                <w:sz w:val="20"/>
                <w:szCs w:val="20"/>
              </w:rPr>
            </w:pPr>
            <w:r w:rsidRPr="0064652A">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7F8F1819" w14:textId="77777777" w:rsidR="00C820B8" w:rsidRPr="0064652A" w:rsidRDefault="008D7FC6">
            <w:pPr>
              <w:jc w:val="right"/>
              <w:rPr>
                <w:color w:val="000000"/>
                <w:sz w:val="20"/>
                <w:szCs w:val="20"/>
              </w:rPr>
            </w:pPr>
            <w:r w:rsidRPr="0064652A">
              <w:rPr>
                <w:color w:val="000000"/>
                <w:sz w:val="20"/>
                <w:szCs w:val="20"/>
              </w:rPr>
              <w:t>1,649</w:t>
            </w:r>
          </w:p>
        </w:tc>
        <w:tc>
          <w:tcPr>
            <w:tcW w:w="50" w:type="pct"/>
            <w:noWrap/>
            <w:tcMar>
              <w:top w:w="5" w:type="dxa"/>
              <w:left w:w="5" w:type="dxa"/>
              <w:bottom w:w="50" w:type="dxa"/>
              <w:right w:w="5" w:type="dxa"/>
            </w:tcMar>
            <w:vAlign w:val="bottom"/>
            <w:hideMark/>
          </w:tcPr>
          <w:p w14:paraId="2F9C680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0" w:type="dxa"/>
              <w:right w:w="5" w:type="dxa"/>
            </w:tcMar>
            <w:vAlign w:val="bottom"/>
            <w:hideMark/>
          </w:tcPr>
          <w:p w14:paraId="1E4E97A7"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81C985E" w14:textId="77777777" w:rsidR="00C820B8" w:rsidRPr="0064652A" w:rsidRDefault="008D7FC6">
            <w:pPr>
              <w:rPr>
                <w:color w:val="000000"/>
                <w:sz w:val="20"/>
                <w:szCs w:val="20"/>
              </w:rPr>
            </w:pPr>
            <w:r w:rsidRPr="0064652A">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0C0E188E" w14:textId="77777777" w:rsidR="00C820B8" w:rsidRPr="0064652A" w:rsidRDefault="008D7FC6">
            <w:pPr>
              <w:jc w:val="right"/>
              <w:rPr>
                <w:color w:val="000000"/>
                <w:sz w:val="20"/>
                <w:szCs w:val="20"/>
              </w:rPr>
            </w:pPr>
            <w:r w:rsidRPr="0064652A">
              <w:rPr>
                <w:color w:val="000000"/>
                <w:sz w:val="20"/>
                <w:szCs w:val="20"/>
              </w:rPr>
              <w:t>(1,471</w:t>
            </w:r>
          </w:p>
        </w:tc>
        <w:tc>
          <w:tcPr>
            <w:tcW w:w="50" w:type="pct"/>
            <w:noWrap/>
            <w:tcMar>
              <w:top w:w="5" w:type="dxa"/>
              <w:left w:w="5" w:type="dxa"/>
              <w:bottom w:w="50" w:type="dxa"/>
              <w:right w:w="5" w:type="dxa"/>
            </w:tcMar>
            <w:vAlign w:val="bottom"/>
            <w:hideMark/>
          </w:tcPr>
          <w:p w14:paraId="13D0C13A" w14:textId="77777777" w:rsidR="00C820B8" w:rsidRPr="0064652A" w:rsidRDefault="008D7FC6">
            <w:pPr>
              <w:rPr>
                <w:color w:val="000000"/>
                <w:sz w:val="20"/>
                <w:szCs w:val="20"/>
              </w:rPr>
            </w:pPr>
            <w:r w:rsidRPr="0064652A">
              <w:rPr>
                <w:color w:val="000000"/>
                <w:sz w:val="20"/>
                <w:szCs w:val="20"/>
              </w:rPr>
              <w:t>)</w:t>
            </w:r>
          </w:p>
        </w:tc>
      </w:tr>
      <w:tr w:rsidR="00C820B8" w:rsidRPr="0064652A" w14:paraId="5FE44885" w14:textId="77777777">
        <w:tc>
          <w:tcPr>
            <w:tcW w:w="2300" w:type="pct"/>
            <w:tcMar>
              <w:top w:w="5" w:type="dxa"/>
              <w:left w:w="5" w:type="dxa"/>
              <w:bottom w:w="5" w:type="dxa"/>
              <w:right w:w="5" w:type="dxa"/>
            </w:tcMar>
            <w:vAlign w:val="bottom"/>
            <w:hideMark/>
          </w:tcPr>
          <w:p w14:paraId="4BD021C5" w14:textId="77777777" w:rsidR="00C820B8" w:rsidRPr="0064652A" w:rsidRDefault="008D7FC6">
            <w:pPr>
              <w:rPr>
                <w:color w:val="000000"/>
                <w:sz w:val="20"/>
                <w:szCs w:val="20"/>
              </w:rPr>
            </w:pPr>
            <w:r w:rsidRPr="0064652A">
              <w:rPr>
                <w:b/>
                <w:bCs/>
                <w:color w:val="000000"/>
                <w:sz w:val="20"/>
                <w:szCs w:val="20"/>
              </w:rPr>
              <w:t>Basic income (loss) per share</w:t>
            </w:r>
          </w:p>
        </w:tc>
        <w:tc>
          <w:tcPr>
            <w:tcW w:w="50" w:type="pct"/>
            <w:tcMar>
              <w:top w:w="5" w:type="dxa"/>
              <w:left w:w="5" w:type="dxa"/>
              <w:bottom w:w="50" w:type="dxa"/>
              <w:right w:w="5" w:type="dxa"/>
            </w:tcMar>
            <w:vAlign w:val="bottom"/>
            <w:hideMark/>
          </w:tcPr>
          <w:p w14:paraId="0AAC713D"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480EF81" w14:textId="77777777" w:rsidR="00C820B8" w:rsidRPr="0064652A" w:rsidRDefault="008D7FC6">
            <w:pPr>
              <w:rPr>
                <w:color w:val="000000"/>
                <w:sz w:val="20"/>
                <w:szCs w:val="20"/>
              </w:rPr>
            </w:pPr>
            <w:r w:rsidRPr="0064652A">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170E023" w14:textId="77777777" w:rsidR="00C820B8" w:rsidRPr="0064652A" w:rsidRDefault="008D7FC6">
            <w:pPr>
              <w:jc w:val="right"/>
              <w:rPr>
                <w:color w:val="000000"/>
                <w:sz w:val="20"/>
                <w:szCs w:val="20"/>
              </w:rPr>
            </w:pPr>
            <w:r w:rsidRPr="0064652A">
              <w:rPr>
                <w:color w:val="000000"/>
                <w:sz w:val="20"/>
                <w:szCs w:val="20"/>
              </w:rPr>
              <w:t>(0.02</w:t>
            </w:r>
          </w:p>
        </w:tc>
        <w:tc>
          <w:tcPr>
            <w:tcW w:w="50" w:type="pct"/>
            <w:noWrap/>
            <w:tcMar>
              <w:top w:w="5" w:type="dxa"/>
              <w:left w:w="5" w:type="dxa"/>
              <w:bottom w:w="50" w:type="dxa"/>
              <w:right w:w="5" w:type="dxa"/>
            </w:tcMar>
            <w:vAlign w:val="bottom"/>
            <w:hideMark/>
          </w:tcPr>
          <w:p w14:paraId="52536200"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0" w:type="dxa"/>
              <w:right w:w="5" w:type="dxa"/>
            </w:tcMar>
            <w:vAlign w:val="bottom"/>
            <w:hideMark/>
          </w:tcPr>
          <w:p w14:paraId="63E3782F"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8868947" w14:textId="77777777" w:rsidR="00C820B8" w:rsidRPr="0064652A" w:rsidRDefault="008D7FC6">
            <w:pPr>
              <w:rPr>
                <w:color w:val="000000"/>
                <w:sz w:val="20"/>
                <w:szCs w:val="20"/>
              </w:rPr>
            </w:pPr>
            <w:r w:rsidRPr="0064652A">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4C4D3957" w14:textId="77777777" w:rsidR="00C820B8" w:rsidRPr="0064652A" w:rsidRDefault="008D7FC6">
            <w:pPr>
              <w:jc w:val="right"/>
              <w:rPr>
                <w:color w:val="000000"/>
                <w:sz w:val="20"/>
                <w:szCs w:val="20"/>
              </w:rPr>
            </w:pPr>
            <w:r w:rsidRPr="0064652A">
              <w:rPr>
                <w:color w:val="000000"/>
                <w:sz w:val="20"/>
                <w:szCs w:val="20"/>
              </w:rPr>
              <w:t>(0.01</w:t>
            </w:r>
          </w:p>
        </w:tc>
        <w:tc>
          <w:tcPr>
            <w:tcW w:w="50" w:type="pct"/>
            <w:noWrap/>
            <w:tcMar>
              <w:top w:w="5" w:type="dxa"/>
              <w:left w:w="5" w:type="dxa"/>
              <w:bottom w:w="50" w:type="dxa"/>
              <w:right w:w="5" w:type="dxa"/>
            </w:tcMar>
            <w:vAlign w:val="bottom"/>
            <w:hideMark/>
          </w:tcPr>
          <w:p w14:paraId="499DA28F"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0" w:type="dxa"/>
              <w:right w:w="5" w:type="dxa"/>
            </w:tcMar>
            <w:vAlign w:val="bottom"/>
            <w:hideMark/>
          </w:tcPr>
          <w:p w14:paraId="3F722DA1"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A4D3FA0" w14:textId="77777777" w:rsidR="00C820B8" w:rsidRPr="0064652A" w:rsidRDefault="008D7FC6">
            <w:pPr>
              <w:rPr>
                <w:color w:val="000000"/>
                <w:sz w:val="20"/>
                <w:szCs w:val="20"/>
              </w:rPr>
            </w:pPr>
            <w:r w:rsidRPr="0064652A">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208E9134" w14:textId="77777777" w:rsidR="00C820B8" w:rsidRPr="0064652A" w:rsidRDefault="008D7FC6">
            <w:pPr>
              <w:jc w:val="right"/>
              <w:rPr>
                <w:color w:val="000000"/>
                <w:sz w:val="20"/>
                <w:szCs w:val="20"/>
              </w:rPr>
            </w:pPr>
            <w:r w:rsidRPr="0064652A">
              <w:rPr>
                <w:color w:val="000000"/>
                <w:sz w:val="20"/>
                <w:szCs w:val="20"/>
              </w:rPr>
              <w:t>0.08</w:t>
            </w:r>
          </w:p>
        </w:tc>
        <w:tc>
          <w:tcPr>
            <w:tcW w:w="50" w:type="pct"/>
            <w:noWrap/>
            <w:tcMar>
              <w:top w:w="5" w:type="dxa"/>
              <w:left w:w="5" w:type="dxa"/>
              <w:bottom w:w="50" w:type="dxa"/>
              <w:right w:w="5" w:type="dxa"/>
            </w:tcMar>
            <w:vAlign w:val="bottom"/>
            <w:hideMark/>
          </w:tcPr>
          <w:p w14:paraId="1865349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0" w:type="dxa"/>
              <w:right w:w="5" w:type="dxa"/>
            </w:tcMar>
            <w:vAlign w:val="bottom"/>
            <w:hideMark/>
          </w:tcPr>
          <w:p w14:paraId="7D9F16E9"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B3EE03B" w14:textId="77777777" w:rsidR="00C820B8" w:rsidRPr="0064652A" w:rsidRDefault="008D7FC6">
            <w:pPr>
              <w:rPr>
                <w:color w:val="000000"/>
                <w:sz w:val="20"/>
                <w:szCs w:val="20"/>
              </w:rPr>
            </w:pPr>
            <w:r w:rsidRPr="0064652A">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62D0D61" w14:textId="77777777" w:rsidR="00C820B8" w:rsidRPr="0064652A" w:rsidRDefault="008D7FC6">
            <w:pPr>
              <w:jc w:val="right"/>
              <w:rPr>
                <w:color w:val="000000"/>
                <w:sz w:val="20"/>
                <w:szCs w:val="20"/>
              </w:rPr>
            </w:pPr>
            <w:r w:rsidRPr="0064652A">
              <w:rPr>
                <w:color w:val="000000"/>
                <w:sz w:val="20"/>
                <w:szCs w:val="20"/>
              </w:rPr>
              <w:t>(0.07</w:t>
            </w:r>
          </w:p>
        </w:tc>
        <w:tc>
          <w:tcPr>
            <w:tcW w:w="50" w:type="pct"/>
            <w:noWrap/>
            <w:tcMar>
              <w:top w:w="5" w:type="dxa"/>
              <w:left w:w="5" w:type="dxa"/>
              <w:bottom w:w="50" w:type="dxa"/>
              <w:right w:w="5" w:type="dxa"/>
            </w:tcMar>
            <w:vAlign w:val="bottom"/>
            <w:hideMark/>
          </w:tcPr>
          <w:p w14:paraId="596702D3" w14:textId="77777777" w:rsidR="00C820B8" w:rsidRPr="0064652A" w:rsidRDefault="008D7FC6">
            <w:pPr>
              <w:rPr>
                <w:color w:val="000000"/>
                <w:sz w:val="20"/>
                <w:szCs w:val="20"/>
              </w:rPr>
            </w:pPr>
            <w:r w:rsidRPr="0064652A">
              <w:rPr>
                <w:color w:val="000000"/>
                <w:sz w:val="20"/>
                <w:szCs w:val="20"/>
              </w:rPr>
              <w:t>)</w:t>
            </w:r>
          </w:p>
        </w:tc>
      </w:tr>
      <w:tr w:rsidR="00C820B8" w:rsidRPr="0064652A" w14:paraId="10DA5AC2" w14:textId="77777777">
        <w:tc>
          <w:tcPr>
            <w:tcW w:w="2300" w:type="pct"/>
            <w:tcMar>
              <w:top w:w="5" w:type="dxa"/>
              <w:left w:w="5" w:type="dxa"/>
              <w:bottom w:w="5" w:type="dxa"/>
              <w:right w:w="5" w:type="dxa"/>
            </w:tcMar>
            <w:vAlign w:val="bottom"/>
            <w:hideMark/>
          </w:tcPr>
          <w:p w14:paraId="53BEF76C" w14:textId="77777777" w:rsidR="00C820B8" w:rsidRPr="0064652A" w:rsidRDefault="008D7FC6">
            <w:pPr>
              <w:rPr>
                <w:color w:val="000000"/>
                <w:sz w:val="20"/>
                <w:szCs w:val="20"/>
              </w:rPr>
            </w:pPr>
            <w:r w:rsidRPr="0064652A">
              <w:rPr>
                <w:b/>
                <w:bCs/>
                <w:color w:val="000000"/>
                <w:sz w:val="20"/>
                <w:szCs w:val="20"/>
              </w:rPr>
              <w:t>Diluted income (loss) per share</w:t>
            </w:r>
          </w:p>
        </w:tc>
        <w:tc>
          <w:tcPr>
            <w:tcW w:w="50" w:type="pct"/>
            <w:tcMar>
              <w:top w:w="5" w:type="dxa"/>
              <w:left w:w="5" w:type="dxa"/>
              <w:bottom w:w="50" w:type="dxa"/>
              <w:right w:w="5" w:type="dxa"/>
            </w:tcMar>
            <w:vAlign w:val="bottom"/>
            <w:hideMark/>
          </w:tcPr>
          <w:p w14:paraId="6026D3A8"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C92C3AD" w14:textId="77777777" w:rsidR="00C820B8" w:rsidRPr="0064652A" w:rsidRDefault="008D7FC6">
            <w:pPr>
              <w:rPr>
                <w:color w:val="000000"/>
                <w:sz w:val="20"/>
                <w:szCs w:val="20"/>
              </w:rPr>
            </w:pPr>
            <w:r w:rsidRPr="0064652A">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569900D" w14:textId="77777777" w:rsidR="00C820B8" w:rsidRPr="0064652A" w:rsidRDefault="008D7FC6">
            <w:pPr>
              <w:jc w:val="right"/>
              <w:rPr>
                <w:color w:val="000000"/>
                <w:sz w:val="20"/>
                <w:szCs w:val="20"/>
              </w:rPr>
            </w:pPr>
            <w:r w:rsidRPr="0064652A">
              <w:rPr>
                <w:color w:val="000000"/>
                <w:sz w:val="20"/>
                <w:szCs w:val="20"/>
              </w:rPr>
              <w:t>(0.02</w:t>
            </w:r>
          </w:p>
        </w:tc>
        <w:tc>
          <w:tcPr>
            <w:tcW w:w="50" w:type="pct"/>
            <w:noWrap/>
            <w:tcMar>
              <w:top w:w="5" w:type="dxa"/>
              <w:left w:w="5" w:type="dxa"/>
              <w:bottom w:w="50" w:type="dxa"/>
              <w:right w:w="5" w:type="dxa"/>
            </w:tcMar>
            <w:vAlign w:val="bottom"/>
            <w:hideMark/>
          </w:tcPr>
          <w:p w14:paraId="2DC81226"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0" w:type="dxa"/>
              <w:right w:w="5" w:type="dxa"/>
            </w:tcMar>
            <w:vAlign w:val="bottom"/>
            <w:hideMark/>
          </w:tcPr>
          <w:p w14:paraId="6F6D03F5"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43DCB22" w14:textId="77777777" w:rsidR="00C820B8" w:rsidRPr="0064652A" w:rsidRDefault="008D7FC6">
            <w:pPr>
              <w:rPr>
                <w:color w:val="000000"/>
                <w:sz w:val="20"/>
                <w:szCs w:val="20"/>
              </w:rPr>
            </w:pPr>
            <w:r w:rsidRPr="0064652A">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1A6BE62" w14:textId="77777777" w:rsidR="00C820B8" w:rsidRPr="0064652A" w:rsidRDefault="008D7FC6">
            <w:pPr>
              <w:jc w:val="right"/>
              <w:rPr>
                <w:color w:val="000000"/>
                <w:sz w:val="20"/>
                <w:szCs w:val="20"/>
              </w:rPr>
            </w:pPr>
            <w:r w:rsidRPr="0064652A">
              <w:rPr>
                <w:color w:val="000000"/>
                <w:sz w:val="20"/>
                <w:szCs w:val="20"/>
              </w:rPr>
              <w:t>(0.01</w:t>
            </w:r>
          </w:p>
        </w:tc>
        <w:tc>
          <w:tcPr>
            <w:tcW w:w="50" w:type="pct"/>
            <w:noWrap/>
            <w:tcMar>
              <w:top w:w="5" w:type="dxa"/>
              <w:left w:w="5" w:type="dxa"/>
              <w:bottom w:w="50" w:type="dxa"/>
              <w:right w:w="5" w:type="dxa"/>
            </w:tcMar>
            <w:vAlign w:val="bottom"/>
            <w:hideMark/>
          </w:tcPr>
          <w:p w14:paraId="44E25FB6"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0" w:type="dxa"/>
              <w:right w:w="5" w:type="dxa"/>
            </w:tcMar>
            <w:vAlign w:val="bottom"/>
            <w:hideMark/>
          </w:tcPr>
          <w:p w14:paraId="3B7EA61B"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4B71D3F" w14:textId="77777777" w:rsidR="00C820B8" w:rsidRPr="0064652A" w:rsidRDefault="008D7FC6">
            <w:pPr>
              <w:rPr>
                <w:color w:val="000000"/>
                <w:sz w:val="20"/>
                <w:szCs w:val="20"/>
              </w:rPr>
            </w:pPr>
            <w:r w:rsidRPr="0064652A">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7FE9BFA4" w14:textId="77777777" w:rsidR="00C820B8" w:rsidRPr="0064652A" w:rsidRDefault="008D7FC6">
            <w:pPr>
              <w:jc w:val="right"/>
              <w:rPr>
                <w:color w:val="000000"/>
                <w:sz w:val="20"/>
                <w:szCs w:val="20"/>
              </w:rPr>
            </w:pPr>
            <w:r w:rsidRPr="0064652A">
              <w:rPr>
                <w:color w:val="000000"/>
                <w:sz w:val="20"/>
                <w:szCs w:val="20"/>
              </w:rPr>
              <w:t>0.08</w:t>
            </w:r>
          </w:p>
        </w:tc>
        <w:tc>
          <w:tcPr>
            <w:tcW w:w="50" w:type="pct"/>
            <w:noWrap/>
            <w:tcMar>
              <w:top w:w="5" w:type="dxa"/>
              <w:left w:w="5" w:type="dxa"/>
              <w:bottom w:w="50" w:type="dxa"/>
              <w:right w:w="5" w:type="dxa"/>
            </w:tcMar>
            <w:vAlign w:val="bottom"/>
            <w:hideMark/>
          </w:tcPr>
          <w:p w14:paraId="4569FAE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0" w:type="dxa"/>
              <w:right w:w="5" w:type="dxa"/>
            </w:tcMar>
            <w:vAlign w:val="bottom"/>
            <w:hideMark/>
          </w:tcPr>
          <w:p w14:paraId="0DCB415E"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99777A2" w14:textId="77777777" w:rsidR="00C820B8" w:rsidRPr="0064652A" w:rsidRDefault="008D7FC6">
            <w:pPr>
              <w:rPr>
                <w:color w:val="000000"/>
                <w:sz w:val="20"/>
                <w:szCs w:val="20"/>
              </w:rPr>
            </w:pPr>
            <w:r w:rsidRPr="0064652A">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52D55C70" w14:textId="77777777" w:rsidR="00C820B8" w:rsidRPr="0064652A" w:rsidRDefault="008D7FC6">
            <w:pPr>
              <w:jc w:val="right"/>
              <w:rPr>
                <w:color w:val="000000"/>
                <w:sz w:val="20"/>
                <w:szCs w:val="20"/>
              </w:rPr>
            </w:pPr>
            <w:r w:rsidRPr="0064652A">
              <w:rPr>
                <w:color w:val="000000"/>
                <w:sz w:val="20"/>
                <w:szCs w:val="20"/>
              </w:rPr>
              <w:t>(0.07</w:t>
            </w:r>
          </w:p>
        </w:tc>
        <w:tc>
          <w:tcPr>
            <w:tcW w:w="50" w:type="pct"/>
            <w:noWrap/>
            <w:tcMar>
              <w:top w:w="5" w:type="dxa"/>
              <w:left w:w="5" w:type="dxa"/>
              <w:bottom w:w="50" w:type="dxa"/>
              <w:right w:w="5" w:type="dxa"/>
            </w:tcMar>
            <w:vAlign w:val="bottom"/>
            <w:hideMark/>
          </w:tcPr>
          <w:p w14:paraId="5E4825AE" w14:textId="77777777" w:rsidR="00C820B8" w:rsidRPr="0064652A" w:rsidRDefault="008D7FC6">
            <w:pPr>
              <w:rPr>
                <w:color w:val="000000"/>
                <w:sz w:val="20"/>
                <w:szCs w:val="20"/>
              </w:rPr>
            </w:pPr>
            <w:r w:rsidRPr="0064652A">
              <w:rPr>
                <w:color w:val="000000"/>
                <w:sz w:val="20"/>
                <w:szCs w:val="20"/>
              </w:rPr>
              <w:t>)</w:t>
            </w:r>
          </w:p>
        </w:tc>
      </w:tr>
      <w:tr w:rsidR="00C820B8" w:rsidRPr="0064652A" w14:paraId="76412782" w14:textId="77777777">
        <w:tc>
          <w:tcPr>
            <w:tcW w:w="2300" w:type="pct"/>
            <w:tcMar>
              <w:top w:w="5" w:type="dxa"/>
              <w:left w:w="5" w:type="dxa"/>
              <w:bottom w:w="5" w:type="dxa"/>
              <w:right w:w="5" w:type="dxa"/>
            </w:tcMar>
            <w:vAlign w:val="bottom"/>
            <w:hideMark/>
          </w:tcPr>
          <w:p w14:paraId="23D87016" w14:textId="77777777" w:rsidR="00C820B8" w:rsidRPr="0064652A" w:rsidRDefault="008D7FC6">
            <w:pPr>
              <w:rPr>
                <w:color w:val="000000"/>
                <w:sz w:val="20"/>
                <w:szCs w:val="20"/>
              </w:rPr>
            </w:pPr>
            <w:r w:rsidRPr="0064652A">
              <w:rPr>
                <w:b/>
                <w:bCs/>
                <w:color w:val="000000"/>
                <w:sz w:val="20"/>
                <w:szCs w:val="20"/>
              </w:rPr>
              <w:t>Weighted average shares outstanding</w:t>
            </w:r>
          </w:p>
        </w:tc>
        <w:tc>
          <w:tcPr>
            <w:tcW w:w="50" w:type="pct"/>
            <w:tcMar>
              <w:top w:w="5" w:type="dxa"/>
              <w:left w:w="5" w:type="dxa"/>
              <w:bottom w:w="5" w:type="dxa"/>
              <w:right w:w="5" w:type="dxa"/>
            </w:tcMar>
            <w:vAlign w:val="bottom"/>
            <w:hideMark/>
          </w:tcPr>
          <w:p w14:paraId="4150CAE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38470EE"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AED4E1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CD91329" w14:textId="77777777" w:rsidR="00C820B8" w:rsidRPr="0064652A" w:rsidRDefault="008D7FC6">
            <w:pPr>
              <w:rPr>
                <w:color w:val="000000"/>
                <w:sz w:val="20"/>
                <w:szCs w:val="20"/>
              </w:rPr>
            </w:pPr>
            <w:r w:rsidRPr="0064652A">
              <w:rPr>
                <w:b/>
                <w:bCs/>
                <w:color w:val="000000"/>
                <w:sz w:val="20"/>
                <w:szCs w:val="20"/>
              </w:rPr>
              <w:t> </w:t>
            </w:r>
          </w:p>
        </w:tc>
        <w:tc>
          <w:tcPr>
            <w:tcW w:w="50" w:type="pct"/>
            <w:tcMar>
              <w:top w:w="5" w:type="dxa"/>
              <w:left w:w="5" w:type="dxa"/>
              <w:bottom w:w="5" w:type="dxa"/>
              <w:right w:w="5" w:type="dxa"/>
            </w:tcMar>
            <w:vAlign w:val="bottom"/>
            <w:hideMark/>
          </w:tcPr>
          <w:p w14:paraId="4EC0C0B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3AE2EDB"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5C48637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01DD41B" w14:textId="77777777" w:rsidR="00C820B8" w:rsidRPr="0064652A" w:rsidRDefault="008D7FC6">
            <w:pPr>
              <w:rPr>
                <w:color w:val="000000"/>
                <w:sz w:val="20"/>
                <w:szCs w:val="20"/>
              </w:rPr>
            </w:pPr>
            <w:r w:rsidRPr="0064652A">
              <w:rPr>
                <w:b/>
                <w:bCs/>
                <w:color w:val="000000"/>
                <w:sz w:val="20"/>
                <w:szCs w:val="20"/>
              </w:rPr>
              <w:t> </w:t>
            </w:r>
          </w:p>
        </w:tc>
        <w:tc>
          <w:tcPr>
            <w:tcW w:w="50" w:type="pct"/>
            <w:tcMar>
              <w:top w:w="5" w:type="dxa"/>
              <w:left w:w="5" w:type="dxa"/>
              <w:bottom w:w="5" w:type="dxa"/>
              <w:right w:w="5" w:type="dxa"/>
            </w:tcMar>
            <w:vAlign w:val="bottom"/>
            <w:hideMark/>
          </w:tcPr>
          <w:p w14:paraId="735EE8E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B199846"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FF36B4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86859D0" w14:textId="77777777" w:rsidR="00C820B8" w:rsidRPr="0064652A" w:rsidRDefault="008D7FC6">
            <w:pPr>
              <w:rPr>
                <w:color w:val="000000"/>
                <w:sz w:val="20"/>
                <w:szCs w:val="20"/>
              </w:rPr>
            </w:pPr>
            <w:r w:rsidRPr="0064652A">
              <w:rPr>
                <w:b/>
                <w:bCs/>
                <w:color w:val="000000"/>
                <w:sz w:val="20"/>
                <w:szCs w:val="20"/>
              </w:rPr>
              <w:t> </w:t>
            </w:r>
          </w:p>
        </w:tc>
        <w:tc>
          <w:tcPr>
            <w:tcW w:w="50" w:type="pct"/>
            <w:tcMar>
              <w:top w:w="5" w:type="dxa"/>
              <w:left w:w="5" w:type="dxa"/>
              <w:bottom w:w="5" w:type="dxa"/>
              <w:right w:w="5" w:type="dxa"/>
            </w:tcMar>
            <w:vAlign w:val="bottom"/>
            <w:hideMark/>
          </w:tcPr>
          <w:p w14:paraId="564A6F8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0A58EB3"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6A6017C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37D3AB0" w14:textId="77777777" w:rsidR="00C820B8" w:rsidRPr="0064652A" w:rsidRDefault="008D7FC6">
            <w:pPr>
              <w:rPr>
                <w:color w:val="000000"/>
                <w:sz w:val="20"/>
                <w:szCs w:val="20"/>
              </w:rPr>
            </w:pPr>
            <w:r w:rsidRPr="0064652A">
              <w:rPr>
                <w:b/>
                <w:bCs/>
                <w:color w:val="000000"/>
                <w:sz w:val="20"/>
                <w:szCs w:val="20"/>
              </w:rPr>
              <w:t> </w:t>
            </w:r>
          </w:p>
        </w:tc>
      </w:tr>
      <w:tr w:rsidR="00C820B8" w:rsidRPr="0064652A" w14:paraId="575848DE" w14:textId="77777777">
        <w:tc>
          <w:tcPr>
            <w:tcW w:w="2300" w:type="pct"/>
            <w:tcMar>
              <w:top w:w="5" w:type="dxa"/>
              <w:left w:w="5" w:type="dxa"/>
              <w:bottom w:w="5" w:type="dxa"/>
              <w:right w:w="5" w:type="dxa"/>
            </w:tcMar>
            <w:vAlign w:val="bottom"/>
            <w:hideMark/>
          </w:tcPr>
          <w:p w14:paraId="3C95A18F" w14:textId="77777777" w:rsidR="00C820B8" w:rsidRPr="0064652A" w:rsidRDefault="008D7FC6">
            <w:pPr>
              <w:ind w:left="360"/>
              <w:rPr>
                <w:color w:val="000000"/>
                <w:sz w:val="20"/>
                <w:szCs w:val="20"/>
              </w:rPr>
            </w:pPr>
            <w:r w:rsidRPr="0064652A">
              <w:rPr>
                <w:color w:val="000000"/>
                <w:sz w:val="20"/>
                <w:szCs w:val="20"/>
              </w:rPr>
              <w:t>Basic</w:t>
            </w:r>
          </w:p>
        </w:tc>
        <w:tc>
          <w:tcPr>
            <w:tcW w:w="50" w:type="pct"/>
            <w:tcMar>
              <w:top w:w="5" w:type="dxa"/>
              <w:left w:w="5" w:type="dxa"/>
              <w:bottom w:w="5" w:type="dxa"/>
              <w:right w:w="5" w:type="dxa"/>
            </w:tcMar>
            <w:vAlign w:val="bottom"/>
            <w:hideMark/>
          </w:tcPr>
          <w:p w14:paraId="5363C43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56A4C17"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49F5E25A" w14:textId="77777777" w:rsidR="00C820B8" w:rsidRPr="0064652A" w:rsidRDefault="008D7FC6">
            <w:pPr>
              <w:jc w:val="right"/>
              <w:rPr>
                <w:color w:val="000000"/>
                <w:sz w:val="20"/>
                <w:szCs w:val="20"/>
              </w:rPr>
            </w:pPr>
            <w:r w:rsidRPr="0064652A">
              <w:rPr>
                <w:color w:val="000000"/>
                <w:sz w:val="20"/>
                <w:szCs w:val="20"/>
              </w:rPr>
              <w:t>21,042,652</w:t>
            </w:r>
          </w:p>
        </w:tc>
        <w:tc>
          <w:tcPr>
            <w:tcW w:w="50" w:type="pct"/>
            <w:noWrap/>
            <w:tcMar>
              <w:top w:w="5" w:type="dxa"/>
              <w:left w:w="5" w:type="dxa"/>
              <w:bottom w:w="5" w:type="dxa"/>
              <w:right w:w="5" w:type="dxa"/>
            </w:tcMar>
            <w:vAlign w:val="bottom"/>
            <w:hideMark/>
          </w:tcPr>
          <w:p w14:paraId="78F961E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22E82A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D5764D7"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3CC43E9C" w14:textId="77777777" w:rsidR="00C820B8" w:rsidRPr="0064652A" w:rsidRDefault="008D7FC6">
            <w:pPr>
              <w:jc w:val="right"/>
              <w:rPr>
                <w:color w:val="000000"/>
                <w:sz w:val="20"/>
                <w:szCs w:val="20"/>
              </w:rPr>
            </w:pPr>
            <w:r w:rsidRPr="0064652A">
              <w:rPr>
                <w:color w:val="000000"/>
                <w:sz w:val="20"/>
                <w:szCs w:val="20"/>
              </w:rPr>
              <w:t>21,042,652</w:t>
            </w:r>
          </w:p>
        </w:tc>
        <w:tc>
          <w:tcPr>
            <w:tcW w:w="50" w:type="pct"/>
            <w:noWrap/>
            <w:tcMar>
              <w:top w:w="5" w:type="dxa"/>
              <w:left w:w="5" w:type="dxa"/>
              <w:bottom w:w="5" w:type="dxa"/>
              <w:right w:w="5" w:type="dxa"/>
            </w:tcMar>
            <w:vAlign w:val="bottom"/>
            <w:hideMark/>
          </w:tcPr>
          <w:p w14:paraId="4FA2AA7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E73194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09DCEE1"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1163A8C" w14:textId="77777777" w:rsidR="00C820B8" w:rsidRPr="0064652A" w:rsidRDefault="008D7FC6">
            <w:pPr>
              <w:jc w:val="right"/>
              <w:rPr>
                <w:color w:val="000000"/>
                <w:sz w:val="20"/>
                <w:szCs w:val="20"/>
              </w:rPr>
            </w:pPr>
            <w:r w:rsidRPr="0064652A">
              <w:rPr>
                <w:color w:val="000000"/>
                <w:sz w:val="20"/>
                <w:szCs w:val="20"/>
              </w:rPr>
              <w:t>21,042,652</w:t>
            </w:r>
          </w:p>
        </w:tc>
        <w:tc>
          <w:tcPr>
            <w:tcW w:w="50" w:type="pct"/>
            <w:noWrap/>
            <w:tcMar>
              <w:top w:w="5" w:type="dxa"/>
              <w:left w:w="5" w:type="dxa"/>
              <w:bottom w:w="5" w:type="dxa"/>
              <w:right w:w="5" w:type="dxa"/>
            </w:tcMar>
            <w:vAlign w:val="bottom"/>
            <w:hideMark/>
          </w:tcPr>
          <w:p w14:paraId="1CD0D82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3018BC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D5C97A1"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2431CDC3" w14:textId="77777777" w:rsidR="00C820B8" w:rsidRPr="0064652A" w:rsidRDefault="008D7FC6">
            <w:pPr>
              <w:jc w:val="right"/>
              <w:rPr>
                <w:color w:val="000000"/>
                <w:sz w:val="20"/>
                <w:szCs w:val="20"/>
              </w:rPr>
            </w:pPr>
            <w:r w:rsidRPr="0064652A">
              <w:rPr>
                <w:color w:val="000000"/>
                <w:sz w:val="20"/>
                <w:szCs w:val="20"/>
              </w:rPr>
              <w:t>21,042,652</w:t>
            </w:r>
          </w:p>
        </w:tc>
        <w:tc>
          <w:tcPr>
            <w:tcW w:w="50" w:type="pct"/>
            <w:noWrap/>
            <w:tcMar>
              <w:top w:w="5" w:type="dxa"/>
              <w:left w:w="5" w:type="dxa"/>
              <w:bottom w:w="5" w:type="dxa"/>
              <w:right w:w="5" w:type="dxa"/>
            </w:tcMar>
            <w:vAlign w:val="bottom"/>
            <w:hideMark/>
          </w:tcPr>
          <w:p w14:paraId="25AF7640" w14:textId="77777777" w:rsidR="00C820B8" w:rsidRPr="0064652A" w:rsidRDefault="008D7FC6">
            <w:pPr>
              <w:rPr>
                <w:color w:val="000000"/>
                <w:sz w:val="20"/>
                <w:szCs w:val="20"/>
              </w:rPr>
            </w:pPr>
            <w:r w:rsidRPr="0064652A">
              <w:rPr>
                <w:color w:val="000000"/>
                <w:sz w:val="20"/>
                <w:szCs w:val="20"/>
              </w:rPr>
              <w:t> </w:t>
            </w:r>
          </w:p>
        </w:tc>
      </w:tr>
      <w:tr w:rsidR="00C820B8" w:rsidRPr="0064652A" w14:paraId="76611144" w14:textId="77777777">
        <w:tc>
          <w:tcPr>
            <w:tcW w:w="2300" w:type="pct"/>
            <w:tcMar>
              <w:top w:w="5" w:type="dxa"/>
              <w:left w:w="5" w:type="dxa"/>
              <w:bottom w:w="5" w:type="dxa"/>
              <w:right w:w="5" w:type="dxa"/>
            </w:tcMar>
            <w:vAlign w:val="bottom"/>
            <w:hideMark/>
          </w:tcPr>
          <w:p w14:paraId="70F061C2" w14:textId="77777777" w:rsidR="00C820B8" w:rsidRPr="0064652A" w:rsidRDefault="008D7FC6">
            <w:pPr>
              <w:ind w:left="360"/>
              <w:rPr>
                <w:color w:val="000000"/>
                <w:sz w:val="20"/>
                <w:szCs w:val="20"/>
              </w:rPr>
            </w:pPr>
            <w:r w:rsidRPr="0064652A">
              <w:rPr>
                <w:color w:val="000000"/>
                <w:sz w:val="20"/>
                <w:szCs w:val="20"/>
              </w:rPr>
              <w:t>Diluted</w:t>
            </w:r>
          </w:p>
        </w:tc>
        <w:tc>
          <w:tcPr>
            <w:tcW w:w="50" w:type="pct"/>
            <w:tcMar>
              <w:top w:w="5" w:type="dxa"/>
              <w:left w:w="5" w:type="dxa"/>
              <w:bottom w:w="5" w:type="dxa"/>
              <w:right w:w="5" w:type="dxa"/>
            </w:tcMar>
            <w:vAlign w:val="bottom"/>
            <w:hideMark/>
          </w:tcPr>
          <w:p w14:paraId="50E34C0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AE7BE5F"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77F0D96" w14:textId="77777777" w:rsidR="00C820B8" w:rsidRPr="0064652A" w:rsidRDefault="008D7FC6">
            <w:pPr>
              <w:jc w:val="right"/>
              <w:rPr>
                <w:color w:val="000000"/>
                <w:sz w:val="20"/>
                <w:szCs w:val="20"/>
              </w:rPr>
            </w:pPr>
            <w:r w:rsidRPr="0064652A">
              <w:rPr>
                <w:color w:val="000000"/>
                <w:sz w:val="20"/>
                <w:szCs w:val="20"/>
              </w:rPr>
              <w:t>21,042,652</w:t>
            </w:r>
          </w:p>
        </w:tc>
        <w:tc>
          <w:tcPr>
            <w:tcW w:w="50" w:type="pct"/>
            <w:noWrap/>
            <w:tcMar>
              <w:top w:w="5" w:type="dxa"/>
              <w:left w:w="5" w:type="dxa"/>
              <w:bottom w:w="5" w:type="dxa"/>
              <w:right w:w="5" w:type="dxa"/>
            </w:tcMar>
            <w:vAlign w:val="bottom"/>
            <w:hideMark/>
          </w:tcPr>
          <w:p w14:paraId="103933D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D86C51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643616A"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51FCEE8E" w14:textId="77777777" w:rsidR="00C820B8" w:rsidRPr="0064652A" w:rsidRDefault="008D7FC6">
            <w:pPr>
              <w:jc w:val="right"/>
              <w:rPr>
                <w:color w:val="000000"/>
                <w:sz w:val="20"/>
                <w:szCs w:val="20"/>
              </w:rPr>
            </w:pPr>
            <w:r w:rsidRPr="0064652A">
              <w:rPr>
                <w:color w:val="000000"/>
                <w:sz w:val="20"/>
                <w:szCs w:val="20"/>
              </w:rPr>
              <w:t>21,042,652</w:t>
            </w:r>
          </w:p>
        </w:tc>
        <w:tc>
          <w:tcPr>
            <w:tcW w:w="50" w:type="pct"/>
            <w:noWrap/>
            <w:tcMar>
              <w:top w:w="5" w:type="dxa"/>
              <w:left w:w="5" w:type="dxa"/>
              <w:bottom w:w="5" w:type="dxa"/>
              <w:right w:w="5" w:type="dxa"/>
            </w:tcMar>
            <w:vAlign w:val="bottom"/>
            <w:hideMark/>
          </w:tcPr>
          <w:p w14:paraId="6F58AFA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856787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8598536"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4D586A18" w14:textId="77777777" w:rsidR="00C820B8" w:rsidRPr="0064652A" w:rsidRDefault="008D7FC6">
            <w:pPr>
              <w:jc w:val="right"/>
              <w:rPr>
                <w:color w:val="000000"/>
                <w:sz w:val="20"/>
                <w:szCs w:val="20"/>
              </w:rPr>
            </w:pPr>
            <w:r w:rsidRPr="0064652A">
              <w:rPr>
                <w:color w:val="000000"/>
                <w:sz w:val="20"/>
                <w:szCs w:val="20"/>
              </w:rPr>
              <w:t>21,042,652</w:t>
            </w:r>
          </w:p>
        </w:tc>
        <w:tc>
          <w:tcPr>
            <w:tcW w:w="50" w:type="pct"/>
            <w:noWrap/>
            <w:tcMar>
              <w:top w:w="5" w:type="dxa"/>
              <w:left w:w="5" w:type="dxa"/>
              <w:bottom w:w="5" w:type="dxa"/>
              <w:right w:w="5" w:type="dxa"/>
            </w:tcMar>
            <w:vAlign w:val="bottom"/>
            <w:hideMark/>
          </w:tcPr>
          <w:p w14:paraId="53EAEFC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6FCEBE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FF2AB26"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7B9CAD7D" w14:textId="77777777" w:rsidR="00C820B8" w:rsidRPr="0064652A" w:rsidRDefault="008D7FC6">
            <w:pPr>
              <w:jc w:val="right"/>
              <w:rPr>
                <w:color w:val="000000"/>
                <w:sz w:val="20"/>
                <w:szCs w:val="20"/>
              </w:rPr>
            </w:pPr>
            <w:r w:rsidRPr="0064652A">
              <w:rPr>
                <w:color w:val="000000"/>
                <w:sz w:val="20"/>
                <w:szCs w:val="20"/>
              </w:rPr>
              <w:t>21,042,652</w:t>
            </w:r>
          </w:p>
        </w:tc>
        <w:tc>
          <w:tcPr>
            <w:tcW w:w="50" w:type="pct"/>
            <w:noWrap/>
            <w:tcMar>
              <w:top w:w="5" w:type="dxa"/>
              <w:left w:w="5" w:type="dxa"/>
              <w:bottom w:w="5" w:type="dxa"/>
              <w:right w:w="5" w:type="dxa"/>
            </w:tcMar>
            <w:vAlign w:val="bottom"/>
            <w:hideMark/>
          </w:tcPr>
          <w:p w14:paraId="44B888B3" w14:textId="77777777" w:rsidR="00C820B8" w:rsidRPr="0064652A" w:rsidRDefault="008D7FC6">
            <w:pPr>
              <w:rPr>
                <w:color w:val="000000"/>
                <w:sz w:val="20"/>
                <w:szCs w:val="20"/>
              </w:rPr>
            </w:pPr>
            <w:r w:rsidRPr="0064652A">
              <w:rPr>
                <w:color w:val="000000"/>
                <w:sz w:val="20"/>
                <w:szCs w:val="20"/>
              </w:rPr>
              <w:t> </w:t>
            </w:r>
          </w:p>
        </w:tc>
      </w:tr>
    </w:tbl>
    <w:p w14:paraId="04E06088" w14:textId="77777777" w:rsidR="00C820B8" w:rsidRPr="0064652A" w:rsidRDefault="008D7FC6">
      <w:pPr>
        <w:jc w:val="center"/>
        <w:rPr>
          <w:sz w:val="20"/>
          <w:szCs w:val="20"/>
        </w:rPr>
      </w:pPr>
      <w:r w:rsidRPr="0064652A">
        <w:rPr>
          <w:sz w:val="20"/>
          <w:szCs w:val="20"/>
        </w:rPr>
        <w:t> </w:t>
      </w:r>
    </w:p>
    <w:p w14:paraId="2EE3FA94" w14:textId="77777777" w:rsidR="00C820B8" w:rsidRPr="0064652A" w:rsidRDefault="008D7FC6">
      <w:pPr>
        <w:jc w:val="center"/>
        <w:rPr>
          <w:sz w:val="20"/>
          <w:szCs w:val="20"/>
        </w:rPr>
      </w:pPr>
      <w:r w:rsidRPr="0064652A">
        <w:rPr>
          <w:sz w:val="20"/>
          <w:szCs w:val="20"/>
        </w:rPr>
        <w:t>The accompanying notes are an integral part of the consolidated financial statements.</w:t>
      </w:r>
    </w:p>
    <w:p w14:paraId="7B10C9F1" w14:textId="77777777" w:rsidR="00C820B8" w:rsidRPr="0064652A" w:rsidRDefault="008D7FC6">
      <w:pPr>
        <w:rPr>
          <w:sz w:val="20"/>
          <w:szCs w:val="20"/>
        </w:rPr>
      </w:pPr>
      <w:r w:rsidRPr="0064652A">
        <w:rPr>
          <w:sz w:val="20"/>
          <w:szCs w:val="20"/>
        </w:rPr>
        <w:lastRenderedPageBreak/>
        <w:t> </w:t>
      </w:r>
    </w:p>
    <w:p w14:paraId="4E201C02" w14:textId="77777777" w:rsidR="00C820B8" w:rsidRPr="0064652A" w:rsidRDefault="008D7FC6">
      <w:pPr>
        <w:jc w:val="center"/>
        <w:rPr>
          <w:sz w:val="20"/>
          <w:szCs w:val="20"/>
        </w:rPr>
      </w:pPr>
      <w:r w:rsidRPr="0064652A">
        <w:rPr>
          <w:sz w:val="20"/>
          <w:szCs w:val="20"/>
        </w:rPr>
        <w:t>3</w:t>
      </w:r>
    </w:p>
    <w:p w14:paraId="40DF6380"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54F8F91E" w14:textId="77777777" w:rsidR="00C820B8" w:rsidRPr="0064652A" w:rsidRDefault="008D7FC6">
      <w:r w:rsidRPr="0064652A">
        <w:t> </w:t>
      </w:r>
    </w:p>
    <w:p w14:paraId="6E79E902" w14:textId="77777777" w:rsidR="00C820B8" w:rsidRPr="0064652A" w:rsidRDefault="008D7FC6">
      <w:pPr>
        <w:rPr>
          <w:sz w:val="20"/>
          <w:szCs w:val="20"/>
        </w:rPr>
      </w:pPr>
      <w:r w:rsidRPr="0064652A">
        <w:rPr>
          <w:sz w:val="20"/>
          <w:szCs w:val="20"/>
        </w:rPr>
        <w:t> </w:t>
      </w:r>
    </w:p>
    <w:p w14:paraId="55ECEE42" w14:textId="77777777" w:rsidR="00C820B8" w:rsidRPr="0064652A" w:rsidRDefault="008D7FC6">
      <w:pPr>
        <w:jc w:val="center"/>
        <w:rPr>
          <w:sz w:val="20"/>
          <w:szCs w:val="20"/>
        </w:rPr>
      </w:pPr>
      <w:bookmarkStart w:id="5" w:name="bs"/>
      <w:bookmarkEnd w:id="5"/>
      <w:r w:rsidRPr="0064652A">
        <w:rPr>
          <w:b/>
          <w:bCs/>
          <w:sz w:val="20"/>
          <w:szCs w:val="20"/>
        </w:rPr>
        <w:t>EMERSON RADIO CORP. AND SUBSIDIARIES</w:t>
      </w:r>
    </w:p>
    <w:p w14:paraId="7D7D2F9E" w14:textId="77777777" w:rsidR="00C820B8" w:rsidRPr="0064652A" w:rsidRDefault="008D7FC6">
      <w:pPr>
        <w:jc w:val="center"/>
        <w:rPr>
          <w:sz w:val="20"/>
          <w:szCs w:val="20"/>
        </w:rPr>
      </w:pPr>
      <w:r w:rsidRPr="0064652A">
        <w:rPr>
          <w:b/>
          <w:bCs/>
          <w:sz w:val="20"/>
          <w:szCs w:val="20"/>
        </w:rPr>
        <w:t>CONSOLIDATED BALANCE SHEETS</w:t>
      </w:r>
    </w:p>
    <w:p w14:paraId="4698B1D7" w14:textId="77777777" w:rsidR="00C820B8" w:rsidRPr="0064652A" w:rsidRDefault="008D7FC6">
      <w:pPr>
        <w:jc w:val="center"/>
        <w:rPr>
          <w:sz w:val="20"/>
          <w:szCs w:val="20"/>
        </w:rPr>
      </w:pPr>
      <w:r w:rsidRPr="0064652A">
        <w:rPr>
          <w:b/>
          <w:bCs/>
          <w:sz w:val="20"/>
          <w:szCs w:val="20"/>
        </w:rPr>
        <w:t>(Unaudited)</w:t>
      </w:r>
    </w:p>
    <w:p w14:paraId="6AEB5F3E" w14:textId="77777777" w:rsidR="00C820B8" w:rsidRPr="0064652A" w:rsidRDefault="008D7FC6">
      <w:pPr>
        <w:jc w:val="center"/>
        <w:rPr>
          <w:sz w:val="20"/>
          <w:szCs w:val="20"/>
        </w:rPr>
      </w:pPr>
      <w:r w:rsidRPr="0064652A">
        <w:rPr>
          <w:b/>
          <w:bCs/>
          <w:sz w:val="20"/>
          <w:szCs w:val="20"/>
        </w:rPr>
        <w:t>(In thousands except share data)</w:t>
      </w:r>
    </w:p>
    <w:p w14:paraId="62B1BB11" w14:textId="77777777" w:rsidR="00C820B8" w:rsidRPr="0064652A" w:rsidRDefault="008D7FC6">
      <w:pPr>
        <w:rPr>
          <w:sz w:val="20"/>
          <w:szCs w:val="20"/>
        </w:rPr>
      </w:pPr>
      <w:r w:rsidRPr="0064652A">
        <w:rPr>
          <w:sz w:val="20"/>
          <w:szCs w:val="20"/>
        </w:rPr>
        <w:t> </w:t>
      </w:r>
    </w:p>
    <w:tbl>
      <w:tblPr>
        <w:tblStyle w:val="finTable"/>
        <w:tblW w:w="5000" w:type="pct"/>
        <w:tblInd w:w="5" w:type="dxa"/>
        <w:tblCellMar>
          <w:left w:w="0" w:type="dxa"/>
          <w:right w:w="0" w:type="dxa"/>
        </w:tblCellMar>
        <w:tblLook w:val="05E0" w:firstRow="1" w:lastRow="1" w:firstColumn="1" w:lastColumn="1" w:noHBand="0" w:noVBand="1"/>
      </w:tblPr>
      <w:tblGrid>
        <w:gridCol w:w="7559"/>
        <w:gridCol w:w="107"/>
        <w:gridCol w:w="110"/>
        <w:gridCol w:w="1295"/>
        <w:gridCol w:w="107"/>
        <w:gridCol w:w="108"/>
        <w:gridCol w:w="110"/>
        <w:gridCol w:w="1296"/>
        <w:gridCol w:w="108"/>
      </w:tblGrid>
      <w:tr w:rsidR="00C820B8" w:rsidRPr="0064652A" w14:paraId="7B83A3D3" w14:textId="77777777">
        <w:tc>
          <w:tcPr>
            <w:tcW w:w="0" w:type="auto"/>
            <w:tcMar>
              <w:top w:w="5" w:type="dxa"/>
              <w:left w:w="5" w:type="dxa"/>
              <w:bottom w:w="5" w:type="dxa"/>
              <w:right w:w="5" w:type="dxa"/>
            </w:tcMar>
            <w:vAlign w:val="bottom"/>
            <w:hideMark/>
          </w:tcPr>
          <w:p w14:paraId="57626A9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5A026E0"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C006187" w14:textId="77777777" w:rsidR="00C820B8" w:rsidRPr="0064652A" w:rsidRDefault="008D7FC6">
            <w:pPr>
              <w:jc w:val="center"/>
              <w:rPr>
                <w:color w:val="000000"/>
                <w:sz w:val="20"/>
                <w:szCs w:val="20"/>
              </w:rPr>
            </w:pPr>
            <w:r w:rsidRPr="0064652A">
              <w:rPr>
                <w:b/>
                <w:bCs/>
                <w:color w:val="000000"/>
                <w:sz w:val="20"/>
                <w:szCs w:val="20"/>
              </w:rPr>
              <w:t>December 31, 2023</w:t>
            </w:r>
          </w:p>
        </w:tc>
        <w:tc>
          <w:tcPr>
            <w:tcW w:w="0" w:type="auto"/>
            <w:tcMar>
              <w:top w:w="5" w:type="dxa"/>
              <w:left w:w="5" w:type="dxa"/>
              <w:bottom w:w="20" w:type="dxa"/>
              <w:right w:w="5" w:type="dxa"/>
            </w:tcMar>
            <w:vAlign w:val="bottom"/>
            <w:hideMark/>
          </w:tcPr>
          <w:p w14:paraId="55AA3F26"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F457D1A"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7DD48A8" w14:textId="77777777" w:rsidR="00C820B8" w:rsidRPr="0064652A" w:rsidRDefault="008D7FC6">
            <w:pPr>
              <w:jc w:val="center"/>
              <w:rPr>
                <w:color w:val="000000"/>
                <w:sz w:val="20"/>
                <w:szCs w:val="20"/>
              </w:rPr>
            </w:pPr>
            <w:r w:rsidRPr="0064652A">
              <w:rPr>
                <w:b/>
                <w:bCs/>
                <w:color w:val="000000"/>
                <w:sz w:val="20"/>
                <w:szCs w:val="20"/>
              </w:rPr>
              <w:t>March 31, 2023</w:t>
            </w:r>
          </w:p>
        </w:tc>
        <w:tc>
          <w:tcPr>
            <w:tcW w:w="0" w:type="auto"/>
            <w:tcMar>
              <w:top w:w="5" w:type="dxa"/>
              <w:left w:w="5" w:type="dxa"/>
              <w:bottom w:w="20" w:type="dxa"/>
              <w:right w:w="5" w:type="dxa"/>
            </w:tcMar>
            <w:vAlign w:val="bottom"/>
            <w:hideMark/>
          </w:tcPr>
          <w:p w14:paraId="6F391265" w14:textId="77777777" w:rsidR="00C820B8" w:rsidRPr="0064652A" w:rsidRDefault="008D7FC6">
            <w:pPr>
              <w:rPr>
                <w:color w:val="000000"/>
                <w:sz w:val="20"/>
                <w:szCs w:val="20"/>
              </w:rPr>
            </w:pPr>
            <w:r w:rsidRPr="0064652A">
              <w:rPr>
                <w:color w:val="000000"/>
                <w:sz w:val="20"/>
                <w:szCs w:val="20"/>
              </w:rPr>
              <w:t> </w:t>
            </w:r>
          </w:p>
        </w:tc>
      </w:tr>
      <w:tr w:rsidR="00C820B8" w:rsidRPr="0064652A" w14:paraId="1316EB8E" w14:textId="77777777">
        <w:tc>
          <w:tcPr>
            <w:tcW w:w="0" w:type="auto"/>
            <w:tcMar>
              <w:top w:w="5" w:type="dxa"/>
              <w:left w:w="5" w:type="dxa"/>
              <w:bottom w:w="5" w:type="dxa"/>
              <w:right w:w="5" w:type="dxa"/>
            </w:tcMar>
            <w:vAlign w:val="bottom"/>
            <w:hideMark/>
          </w:tcPr>
          <w:p w14:paraId="0430CEA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F7510B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90F4F3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B5DD74D" w14:textId="77777777" w:rsidR="00C820B8" w:rsidRPr="0064652A" w:rsidRDefault="008D7FC6">
            <w:pPr>
              <w:jc w:val="center"/>
              <w:rPr>
                <w:color w:val="000000"/>
                <w:sz w:val="20"/>
                <w:szCs w:val="20"/>
              </w:rPr>
            </w:pPr>
            <w:r w:rsidRPr="0064652A">
              <w:rPr>
                <w:rStyle w:val="ins"/>
                <w:color w:val="000000"/>
                <w:sz w:val="20"/>
                <w:szCs w:val="20"/>
              </w:rPr>
              <w:t>(Not Reviewed)</w:t>
            </w:r>
          </w:p>
        </w:tc>
        <w:tc>
          <w:tcPr>
            <w:tcW w:w="0" w:type="auto"/>
            <w:tcMar>
              <w:top w:w="5" w:type="dxa"/>
              <w:left w:w="5" w:type="dxa"/>
              <w:bottom w:w="5" w:type="dxa"/>
              <w:right w:w="5" w:type="dxa"/>
            </w:tcMar>
            <w:vAlign w:val="bottom"/>
            <w:hideMark/>
          </w:tcPr>
          <w:p w14:paraId="6A19904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1C0851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1BF0EB7"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9A4350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B944B3B" w14:textId="77777777" w:rsidR="00C820B8" w:rsidRPr="0064652A" w:rsidRDefault="008D7FC6">
            <w:pPr>
              <w:rPr>
                <w:color w:val="000000"/>
                <w:sz w:val="20"/>
                <w:szCs w:val="20"/>
              </w:rPr>
            </w:pPr>
            <w:r w:rsidRPr="0064652A">
              <w:rPr>
                <w:color w:val="000000"/>
                <w:sz w:val="20"/>
                <w:szCs w:val="20"/>
              </w:rPr>
              <w:t> </w:t>
            </w:r>
          </w:p>
        </w:tc>
      </w:tr>
      <w:tr w:rsidR="00C820B8" w:rsidRPr="0064652A" w14:paraId="4BD4B71F" w14:textId="77777777">
        <w:tc>
          <w:tcPr>
            <w:tcW w:w="3500" w:type="pct"/>
            <w:tcMar>
              <w:top w:w="5" w:type="dxa"/>
              <w:left w:w="5" w:type="dxa"/>
              <w:bottom w:w="5" w:type="dxa"/>
              <w:right w:w="5" w:type="dxa"/>
            </w:tcMar>
            <w:vAlign w:val="bottom"/>
            <w:hideMark/>
          </w:tcPr>
          <w:p w14:paraId="7157673F" w14:textId="77777777" w:rsidR="00C820B8" w:rsidRPr="0064652A" w:rsidRDefault="008D7FC6">
            <w:pPr>
              <w:jc w:val="center"/>
              <w:rPr>
                <w:color w:val="000000"/>
                <w:sz w:val="20"/>
                <w:szCs w:val="20"/>
              </w:rPr>
            </w:pPr>
            <w:r w:rsidRPr="0064652A">
              <w:rPr>
                <w:b/>
                <w:bCs/>
                <w:color w:val="000000"/>
                <w:sz w:val="20"/>
                <w:szCs w:val="20"/>
              </w:rPr>
              <w:t>ASSETS</w:t>
            </w:r>
          </w:p>
        </w:tc>
        <w:tc>
          <w:tcPr>
            <w:tcW w:w="0" w:type="auto"/>
            <w:tcMar>
              <w:top w:w="5" w:type="dxa"/>
              <w:left w:w="5" w:type="dxa"/>
              <w:bottom w:w="5" w:type="dxa"/>
              <w:right w:w="5" w:type="dxa"/>
            </w:tcMar>
            <w:vAlign w:val="bottom"/>
            <w:hideMark/>
          </w:tcPr>
          <w:p w14:paraId="4120D2B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340E05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AEB6158" w14:textId="77777777" w:rsidR="00C820B8" w:rsidRPr="0064652A" w:rsidRDefault="008D7FC6">
            <w:pPr>
              <w:jc w:val="cente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3022A7D"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0524B5C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C5D9DB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E78FFFD" w14:textId="77777777" w:rsidR="00C820B8" w:rsidRPr="0064652A" w:rsidRDefault="008D7FC6">
            <w:pPr>
              <w:jc w:val="cente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3018192" w14:textId="77777777" w:rsidR="00C820B8" w:rsidRPr="0064652A" w:rsidRDefault="008D7FC6">
            <w:pPr>
              <w:rPr>
                <w:color w:val="000000"/>
                <w:sz w:val="20"/>
                <w:szCs w:val="20"/>
              </w:rPr>
            </w:pPr>
            <w:r w:rsidRPr="0064652A">
              <w:rPr>
                <w:b/>
                <w:bCs/>
                <w:color w:val="000000"/>
                <w:sz w:val="20"/>
                <w:szCs w:val="20"/>
              </w:rPr>
              <w:t> </w:t>
            </w:r>
          </w:p>
        </w:tc>
      </w:tr>
      <w:tr w:rsidR="00C820B8" w:rsidRPr="0064652A" w14:paraId="06B40502" w14:textId="77777777">
        <w:tc>
          <w:tcPr>
            <w:tcW w:w="0" w:type="auto"/>
            <w:tcMar>
              <w:top w:w="5" w:type="dxa"/>
              <w:left w:w="5" w:type="dxa"/>
              <w:bottom w:w="5" w:type="dxa"/>
              <w:right w:w="5" w:type="dxa"/>
            </w:tcMar>
            <w:vAlign w:val="bottom"/>
            <w:hideMark/>
          </w:tcPr>
          <w:p w14:paraId="3A820E7B" w14:textId="77777777" w:rsidR="00C820B8" w:rsidRPr="0064652A" w:rsidRDefault="008D7FC6">
            <w:pPr>
              <w:rPr>
                <w:color w:val="000000"/>
                <w:sz w:val="20"/>
                <w:szCs w:val="20"/>
              </w:rPr>
            </w:pPr>
            <w:r w:rsidRPr="0064652A">
              <w:rPr>
                <w:color w:val="000000"/>
                <w:sz w:val="20"/>
                <w:szCs w:val="20"/>
              </w:rPr>
              <w:t>Current Assets:</w:t>
            </w:r>
          </w:p>
        </w:tc>
        <w:tc>
          <w:tcPr>
            <w:tcW w:w="0" w:type="auto"/>
            <w:tcMar>
              <w:top w:w="5" w:type="dxa"/>
              <w:left w:w="5" w:type="dxa"/>
              <w:bottom w:w="5" w:type="dxa"/>
              <w:right w:w="5" w:type="dxa"/>
            </w:tcMar>
            <w:vAlign w:val="bottom"/>
            <w:hideMark/>
          </w:tcPr>
          <w:p w14:paraId="2A7265F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1BD9F8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29EA54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B36C84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FAEC4A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EBA372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8E34F0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35A9FDF" w14:textId="77777777" w:rsidR="00C820B8" w:rsidRPr="0064652A" w:rsidRDefault="008D7FC6">
            <w:pPr>
              <w:rPr>
                <w:color w:val="000000"/>
                <w:sz w:val="20"/>
                <w:szCs w:val="20"/>
              </w:rPr>
            </w:pPr>
            <w:r w:rsidRPr="0064652A">
              <w:rPr>
                <w:color w:val="000000"/>
                <w:sz w:val="20"/>
                <w:szCs w:val="20"/>
              </w:rPr>
              <w:t> </w:t>
            </w:r>
          </w:p>
        </w:tc>
      </w:tr>
      <w:tr w:rsidR="00C820B8" w:rsidRPr="0064652A" w14:paraId="2DBF3B05" w14:textId="77777777">
        <w:tc>
          <w:tcPr>
            <w:tcW w:w="0" w:type="auto"/>
            <w:tcMar>
              <w:top w:w="5" w:type="dxa"/>
              <w:left w:w="5" w:type="dxa"/>
              <w:bottom w:w="5" w:type="dxa"/>
              <w:right w:w="5" w:type="dxa"/>
            </w:tcMar>
            <w:vAlign w:val="bottom"/>
            <w:hideMark/>
          </w:tcPr>
          <w:p w14:paraId="4330CCC8" w14:textId="77777777" w:rsidR="00C820B8" w:rsidRPr="0064652A" w:rsidRDefault="008D7FC6">
            <w:pPr>
              <w:ind w:left="360"/>
              <w:rPr>
                <w:color w:val="000000"/>
                <w:sz w:val="20"/>
                <w:szCs w:val="20"/>
              </w:rPr>
            </w:pPr>
            <w:r w:rsidRPr="0064652A">
              <w:rPr>
                <w:color w:val="000000"/>
                <w:sz w:val="20"/>
                <w:szCs w:val="20"/>
              </w:rPr>
              <w:t>Cash and cash equivalents</w:t>
            </w:r>
          </w:p>
        </w:tc>
        <w:tc>
          <w:tcPr>
            <w:tcW w:w="50" w:type="pct"/>
            <w:tcMar>
              <w:top w:w="5" w:type="dxa"/>
              <w:left w:w="5" w:type="dxa"/>
              <w:bottom w:w="5" w:type="dxa"/>
              <w:right w:w="5" w:type="dxa"/>
            </w:tcMar>
            <w:vAlign w:val="bottom"/>
            <w:hideMark/>
          </w:tcPr>
          <w:p w14:paraId="422CF13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12DCB27"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64D775A7" w14:textId="77777777" w:rsidR="00C820B8" w:rsidRPr="0064652A" w:rsidRDefault="008D7FC6">
            <w:pPr>
              <w:jc w:val="right"/>
              <w:rPr>
                <w:color w:val="000000"/>
                <w:sz w:val="20"/>
                <w:szCs w:val="20"/>
              </w:rPr>
            </w:pPr>
            <w:r w:rsidRPr="0064652A">
              <w:rPr>
                <w:color w:val="000000"/>
                <w:sz w:val="20"/>
                <w:szCs w:val="20"/>
              </w:rPr>
              <w:t>3,637</w:t>
            </w:r>
          </w:p>
        </w:tc>
        <w:tc>
          <w:tcPr>
            <w:tcW w:w="50" w:type="pct"/>
            <w:noWrap/>
            <w:tcMar>
              <w:top w:w="5" w:type="dxa"/>
              <w:left w:w="5" w:type="dxa"/>
              <w:bottom w:w="5" w:type="dxa"/>
              <w:right w:w="5" w:type="dxa"/>
            </w:tcMar>
            <w:vAlign w:val="bottom"/>
            <w:hideMark/>
          </w:tcPr>
          <w:p w14:paraId="38C9636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0F666A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7CD6D36"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0EE38836" w14:textId="77777777" w:rsidR="00C820B8" w:rsidRPr="0064652A" w:rsidRDefault="008D7FC6">
            <w:pPr>
              <w:jc w:val="right"/>
              <w:rPr>
                <w:color w:val="000000"/>
                <w:sz w:val="20"/>
                <w:szCs w:val="20"/>
              </w:rPr>
            </w:pPr>
            <w:r w:rsidRPr="0064652A">
              <w:rPr>
                <w:color w:val="000000"/>
                <w:sz w:val="20"/>
                <w:szCs w:val="20"/>
              </w:rPr>
              <w:t>25,268</w:t>
            </w:r>
          </w:p>
        </w:tc>
        <w:tc>
          <w:tcPr>
            <w:tcW w:w="50" w:type="pct"/>
            <w:noWrap/>
            <w:tcMar>
              <w:top w:w="5" w:type="dxa"/>
              <w:left w:w="5" w:type="dxa"/>
              <w:bottom w:w="5" w:type="dxa"/>
              <w:right w:w="5" w:type="dxa"/>
            </w:tcMar>
            <w:vAlign w:val="bottom"/>
            <w:hideMark/>
          </w:tcPr>
          <w:p w14:paraId="49ED400E" w14:textId="77777777" w:rsidR="00C820B8" w:rsidRPr="0064652A" w:rsidRDefault="008D7FC6">
            <w:pPr>
              <w:rPr>
                <w:color w:val="000000"/>
                <w:sz w:val="20"/>
                <w:szCs w:val="20"/>
              </w:rPr>
            </w:pPr>
            <w:r w:rsidRPr="0064652A">
              <w:rPr>
                <w:color w:val="000000"/>
                <w:sz w:val="20"/>
                <w:szCs w:val="20"/>
              </w:rPr>
              <w:t> </w:t>
            </w:r>
          </w:p>
        </w:tc>
      </w:tr>
      <w:tr w:rsidR="00C820B8" w:rsidRPr="0064652A" w14:paraId="521401E9" w14:textId="77777777">
        <w:tc>
          <w:tcPr>
            <w:tcW w:w="0" w:type="auto"/>
            <w:tcMar>
              <w:top w:w="5" w:type="dxa"/>
              <w:left w:w="5" w:type="dxa"/>
              <w:bottom w:w="5" w:type="dxa"/>
              <w:right w:w="5" w:type="dxa"/>
            </w:tcMar>
            <w:vAlign w:val="bottom"/>
            <w:hideMark/>
          </w:tcPr>
          <w:p w14:paraId="1C47F1CE" w14:textId="77777777" w:rsidR="00C820B8" w:rsidRPr="0064652A" w:rsidRDefault="008D7FC6">
            <w:pPr>
              <w:rPr>
                <w:color w:val="000000"/>
                <w:sz w:val="20"/>
                <w:szCs w:val="20"/>
              </w:rPr>
            </w:pPr>
            <w:r w:rsidRPr="0064652A">
              <w:rPr>
                <w:color w:val="000000"/>
                <w:sz w:val="20"/>
                <w:szCs w:val="20"/>
              </w:rPr>
              <w:t>       Short term investments</w:t>
            </w:r>
          </w:p>
        </w:tc>
        <w:tc>
          <w:tcPr>
            <w:tcW w:w="50" w:type="pct"/>
            <w:tcMar>
              <w:top w:w="5" w:type="dxa"/>
              <w:left w:w="5" w:type="dxa"/>
              <w:bottom w:w="5" w:type="dxa"/>
              <w:right w:w="5" w:type="dxa"/>
            </w:tcMar>
            <w:vAlign w:val="bottom"/>
            <w:hideMark/>
          </w:tcPr>
          <w:p w14:paraId="0F142E2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43B3821"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EE5190A" w14:textId="77777777" w:rsidR="00C820B8" w:rsidRPr="0064652A" w:rsidRDefault="008D7FC6">
            <w:pPr>
              <w:jc w:val="right"/>
              <w:rPr>
                <w:color w:val="000000"/>
                <w:sz w:val="20"/>
                <w:szCs w:val="20"/>
              </w:rPr>
            </w:pPr>
            <w:r w:rsidRPr="0064652A">
              <w:rPr>
                <w:color w:val="000000"/>
                <w:sz w:val="20"/>
                <w:szCs w:val="20"/>
              </w:rPr>
              <w:t>18,505</w:t>
            </w:r>
          </w:p>
        </w:tc>
        <w:tc>
          <w:tcPr>
            <w:tcW w:w="50" w:type="pct"/>
            <w:noWrap/>
            <w:tcMar>
              <w:top w:w="5" w:type="dxa"/>
              <w:left w:w="5" w:type="dxa"/>
              <w:bottom w:w="5" w:type="dxa"/>
              <w:right w:w="5" w:type="dxa"/>
            </w:tcMar>
            <w:vAlign w:val="bottom"/>
            <w:hideMark/>
          </w:tcPr>
          <w:p w14:paraId="75FE604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AC1A21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173719E"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4DA9583"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40A697A2" w14:textId="77777777" w:rsidR="00C820B8" w:rsidRPr="0064652A" w:rsidRDefault="008D7FC6">
            <w:pPr>
              <w:rPr>
                <w:color w:val="000000"/>
                <w:sz w:val="20"/>
                <w:szCs w:val="20"/>
              </w:rPr>
            </w:pPr>
            <w:r w:rsidRPr="0064652A">
              <w:rPr>
                <w:color w:val="000000"/>
                <w:sz w:val="20"/>
                <w:szCs w:val="20"/>
              </w:rPr>
              <w:t> </w:t>
            </w:r>
          </w:p>
        </w:tc>
      </w:tr>
      <w:tr w:rsidR="00C820B8" w:rsidRPr="0064652A" w14:paraId="6AED6160" w14:textId="77777777">
        <w:tc>
          <w:tcPr>
            <w:tcW w:w="0" w:type="auto"/>
            <w:tcMar>
              <w:top w:w="5" w:type="dxa"/>
              <w:left w:w="5" w:type="dxa"/>
              <w:bottom w:w="5" w:type="dxa"/>
              <w:right w:w="5" w:type="dxa"/>
            </w:tcMar>
            <w:vAlign w:val="bottom"/>
            <w:hideMark/>
          </w:tcPr>
          <w:p w14:paraId="649A1C3D" w14:textId="77777777" w:rsidR="00C820B8" w:rsidRPr="0064652A" w:rsidRDefault="008D7FC6">
            <w:pPr>
              <w:ind w:left="360"/>
              <w:rPr>
                <w:color w:val="000000"/>
                <w:sz w:val="20"/>
                <w:szCs w:val="20"/>
              </w:rPr>
            </w:pPr>
            <w:r w:rsidRPr="0064652A">
              <w:rPr>
                <w:color w:val="000000"/>
                <w:sz w:val="20"/>
                <w:szCs w:val="20"/>
              </w:rPr>
              <w:t>Accounts receivable, net</w:t>
            </w:r>
          </w:p>
        </w:tc>
        <w:tc>
          <w:tcPr>
            <w:tcW w:w="50" w:type="pct"/>
            <w:tcMar>
              <w:top w:w="5" w:type="dxa"/>
              <w:left w:w="5" w:type="dxa"/>
              <w:bottom w:w="5" w:type="dxa"/>
              <w:right w:w="5" w:type="dxa"/>
            </w:tcMar>
            <w:vAlign w:val="bottom"/>
            <w:hideMark/>
          </w:tcPr>
          <w:p w14:paraId="073A2CC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DD46EE3"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9AED4D4" w14:textId="77777777" w:rsidR="00C820B8" w:rsidRPr="0064652A" w:rsidRDefault="008D7FC6">
            <w:pPr>
              <w:jc w:val="right"/>
              <w:rPr>
                <w:color w:val="000000"/>
                <w:sz w:val="20"/>
                <w:szCs w:val="20"/>
              </w:rPr>
            </w:pPr>
            <w:r w:rsidRPr="0064652A">
              <w:rPr>
                <w:color w:val="000000"/>
                <w:sz w:val="20"/>
                <w:szCs w:val="20"/>
              </w:rPr>
              <w:t>1,087</w:t>
            </w:r>
          </w:p>
        </w:tc>
        <w:tc>
          <w:tcPr>
            <w:tcW w:w="50" w:type="pct"/>
            <w:noWrap/>
            <w:tcMar>
              <w:top w:w="5" w:type="dxa"/>
              <w:left w:w="5" w:type="dxa"/>
              <w:bottom w:w="5" w:type="dxa"/>
              <w:right w:w="5" w:type="dxa"/>
            </w:tcMar>
            <w:vAlign w:val="bottom"/>
            <w:hideMark/>
          </w:tcPr>
          <w:p w14:paraId="0327A51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2F5B95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7D4828C"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EA0FEF7" w14:textId="77777777" w:rsidR="00C820B8" w:rsidRPr="0064652A" w:rsidRDefault="008D7FC6">
            <w:pPr>
              <w:jc w:val="right"/>
              <w:rPr>
                <w:color w:val="000000"/>
                <w:sz w:val="20"/>
                <w:szCs w:val="20"/>
              </w:rPr>
            </w:pPr>
            <w:r w:rsidRPr="0064652A">
              <w:rPr>
                <w:color w:val="000000"/>
                <w:sz w:val="20"/>
                <w:szCs w:val="20"/>
              </w:rPr>
              <w:t>1,165</w:t>
            </w:r>
          </w:p>
        </w:tc>
        <w:tc>
          <w:tcPr>
            <w:tcW w:w="50" w:type="pct"/>
            <w:noWrap/>
            <w:tcMar>
              <w:top w:w="5" w:type="dxa"/>
              <w:left w:w="5" w:type="dxa"/>
              <w:bottom w:w="5" w:type="dxa"/>
              <w:right w:w="5" w:type="dxa"/>
            </w:tcMar>
            <w:vAlign w:val="bottom"/>
            <w:hideMark/>
          </w:tcPr>
          <w:p w14:paraId="416215DC" w14:textId="77777777" w:rsidR="00C820B8" w:rsidRPr="0064652A" w:rsidRDefault="008D7FC6">
            <w:pPr>
              <w:rPr>
                <w:color w:val="000000"/>
                <w:sz w:val="20"/>
                <w:szCs w:val="20"/>
              </w:rPr>
            </w:pPr>
            <w:r w:rsidRPr="0064652A">
              <w:rPr>
                <w:color w:val="000000"/>
                <w:sz w:val="20"/>
                <w:szCs w:val="20"/>
              </w:rPr>
              <w:t> </w:t>
            </w:r>
          </w:p>
        </w:tc>
      </w:tr>
      <w:tr w:rsidR="00C820B8" w:rsidRPr="0064652A" w14:paraId="4EEF97FD" w14:textId="77777777">
        <w:tc>
          <w:tcPr>
            <w:tcW w:w="0" w:type="auto"/>
            <w:tcMar>
              <w:top w:w="5" w:type="dxa"/>
              <w:left w:w="5" w:type="dxa"/>
              <w:bottom w:w="5" w:type="dxa"/>
              <w:right w:w="5" w:type="dxa"/>
            </w:tcMar>
            <w:vAlign w:val="bottom"/>
            <w:hideMark/>
          </w:tcPr>
          <w:p w14:paraId="2FBD9284" w14:textId="77777777" w:rsidR="00C820B8" w:rsidRPr="0064652A" w:rsidRDefault="008D7FC6">
            <w:pPr>
              <w:ind w:firstLine="360"/>
              <w:rPr>
                <w:color w:val="000000"/>
                <w:sz w:val="20"/>
                <w:szCs w:val="20"/>
              </w:rPr>
            </w:pPr>
            <w:r w:rsidRPr="0064652A">
              <w:rPr>
                <w:color w:val="000000"/>
                <w:sz w:val="20"/>
                <w:szCs w:val="20"/>
              </w:rPr>
              <w:t>Licensing receivable</w:t>
            </w:r>
          </w:p>
        </w:tc>
        <w:tc>
          <w:tcPr>
            <w:tcW w:w="50" w:type="pct"/>
            <w:tcMar>
              <w:top w:w="5" w:type="dxa"/>
              <w:left w:w="5" w:type="dxa"/>
              <w:bottom w:w="5" w:type="dxa"/>
              <w:right w:w="5" w:type="dxa"/>
            </w:tcMar>
            <w:vAlign w:val="bottom"/>
            <w:hideMark/>
          </w:tcPr>
          <w:p w14:paraId="16AAA88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C0EE21C"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2051B12" w14:textId="77777777" w:rsidR="00C820B8" w:rsidRPr="0064652A" w:rsidRDefault="008D7FC6">
            <w:pPr>
              <w:jc w:val="right"/>
              <w:rPr>
                <w:color w:val="000000"/>
                <w:sz w:val="20"/>
                <w:szCs w:val="20"/>
              </w:rPr>
            </w:pPr>
            <w:r w:rsidRPr="0064652A">
              <w:rPr>
                <w:color w:val="000000"/>
                <w:sz w:val="20"/>
                <w:szCs w:val="20"/>
              </w:rPr>
              <w:t>228</w:t>
            </w:r>
          </w:p>
        </w:tc>
        <w:tc>
          <w:tcPr>
            <w:tcW w:w="50" w:type="pct"/>
            <w:noWrap/>
            <w:tcMar>
              <w:top w:w="5" w:type="dxa"/>
              <w:left w:w="5" w:type="dxa"/>
              <w:bottom w:w="5" w:type="dxa"/>
              <w:right w:w="5" w:type="dxa"/>
            </w:tcMar>
            <w:vAlign w:val="bottom"/>
            <w:hideMark/>
          </w:tcPr>
          <w:p w14:paraId="28EC65A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004383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CEC940F"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AF8B845" w14:textId="77777777" w:rsidR="00C820B8" w:rsidRPr="0064652A" w:rsidRDefault="008D7FC6">
            <w:pPr>
              <w:jc w:val="right"/>
              <w:rPr>
                <w:color w:val="000000"/>
                <w:sz w:val="20"/>
                <w:szCs w:val="20"/>
              </w:rPr>
            </w:pPr>
            <w:r w:rsidRPr="0064652A">
              <w:rPr>
                <w:color w:val="000000"/>
                <w:sz w:val="20"/>
                <w:szCs w:val="20"/>
              </w:rPr>
              <w:t>245</w:t>
            </w:r>
          </w:p>
        </w:tc>
        <w:tc>
          <w:tcPr>
            <w:tcW w:w="50" w:type="pct"/>
            <w:noWrap/>
            <w:tcMar>
              <w:top w:w="5" w:type="dxa"/>
              <w:left w:w="5" w:type="dxa"/>
              <w:bottom w:w="5" w:type="dxa"/>
              <w:right w:w="5" w:type="dxa"/>
            </w:tcMar>
            <w:vAlign w:val="bottom"/>
            <w:hideMark/>
          </w:tcPr>
          <w:p w14:paraId="62C23171" w14:textId="77777777" w:rsidR="00C820B8" w:rsidRPr="0064652A" w:rsidRDefault="008D7FC6">
            <w:pPr>
              <w:rPr>
                <w:color w:val="000000"/>
                <w:sz w:val="20"/>
                <w:szCs w:val="20"/>
              </w:rPr>
            </w:pPr>
            <w:r w:rsidRPr="0064652A">
              <w:rPr>
                <w:color w:val="000000"/>
                <w:sz w:val="20"/>
                <w:szCs w:val="20"/>
              </w:rPr>
              <w:t> </w:t>
            </w:r>
          </w:p>
        </w:tc>
      </w:tr>
      <w:tr w:rsidR="00C820B8" w:rsidRPr="0064652A" w14:paraId="6D2FCD64" w14:textId="77777777">
        <w:tc>
          <w:tcPr>
            <w:tcW w:w="0" w:type="auto"/>
            <w:tcMar>
              <w:top w:w="5" w:type="dxa"/>
              <w:left w:w="5" w:type="dxa"/>
              <w:bottom w:w="5" w:type="dxa"/>
              <w:right w:w="5" w:type="dxa"/>
            </w:tcMar>
            <w:vAlign w:val="bottom"/>
            <w:hideMark/>
          </w:tcPr>
          <w:p w14:paraId="58A699E1" w14:textId="77777777" w:rsidR="00C820B8" w:rsidRPr="0064652A" w:rsidRDefault="008D7FC6">
            <w:pPr>
              <w:ind w:left="360"/>
              <w:rPr>
                <w:color w:val="000000"/>
                <w:sz w:val="20"/>
                <w:szCs w:val="20"/>
              </w:rPr>
            </w:pPr>
            <w:r w:rsidRPr="0064652A">
              <w:rPr>
                <w:color w:val="000000"/>
                <w:sz w:val="20"/>
                <w:szCs w:val="20"/>
              </w:rPr>
              <w:t>Inventory</w:t>
            </w:r>
          </w:p>
        </w:tc>
        <w:tc>
          <w:tcPr>
            <w:tcW w:w="50" w:type="pct"/>
            <w:tcMar>
              <w:top w:w="5" w:type="dxa"/>
              <w:left w:w="5" w:type="dxa"/>
              <w:bottom w:w="5" w:type="dxa"/>
              <w:right w:w="5" w:type="dxa"/>
            </w:tcMar>
            <w:vAlign w:val="bottom"/>
            <w:hideMark/>
          </w:tcPr>
          <w:p w14:paraId="0A6A25D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53A0EBC"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F53F82C" w14:textId="77777777" w:rsidR="00C820B8" w:rsidRPr="0064652A" w:rsidRDefault="008D7FC6">
            <w:pPr>
              <w:jc w:val="right"/>
              <w:rPr>
                <w:color w:val="000000"/>
                <w:sz w:val="20"/>
                <w:szCs w:val="20"/>
              </w:rPr>
            </w:pPr>
            <w:r w:rsidRPr="0064652A">
              <w:rPr>
                <w:color w:val="000000"/>
                <w:sz w:val="20"/>
                <w:szCs w:val="20"/>
              </w:rPr>
              <w:t>5,761</w:t>
            </w:r>
          </w:p>
        </w:tc>
        <w:tc>
          <w:tcPr>
            <w:tcW w:w="50" w:type="pct"/>
            <w:noWrap/>
            <w:tcMar>
              <w:top w:w="5" w:type="dxa"/>
              <w:left w:w="5" w:type="dxa"/>
              <w:bottom w:w="5" w:type="dxa"/>
              <w:right w:w="5" w:type="dxa"/>
            </w:tcMar>
            <w:vAlign w:val="bottom"/>
            <w:hideMark/>
          </w:tcPr>
          <w:p w14:paraId="13647A7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0BAEFD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E8FBEF4"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B9D8B28" w14:textId="77777777" w:rsidR="00C820B8" w:rsidRPr="0064652A" w:rsidRDefault="008D7FC6">
            <w:pPr>
              <w:jc w:val="right"/>
              <w:rPr>
                <w:color w:val="000000"/>
                <w:sz w:val="20"/>
                <w:szCs w:val="20"/>
              </w:rPr>
            </w:pPr>
            <w:r w:rsidRPr="0064652A">
              <w:rPr>
                <w:color w:val="000000"/>
                <w:sz w:val="20"/>
                <w:szCs w:val="20"/>
              </w:rPr>
              <w:t>3,813</w:t>
            </w:r>
          </w:p>
        </w:tc>
        <w:tc>
          <w:tcPr>
            <w:tcW w:w="50" w:type="pct"/>
            <w:noWrap/>
            <w:tcMar>
              <w:top w:w="5" w:type="dxa"/>
              <w:left w:w="5" w:type="dxa"/>
              <w:bottom w:w="5" w:type="dxa"/>
              <w:right w:w="5" w:type="dxa"/>
            </w:tcMar>
            <w:vAlign w:val="bottom"/>
            <w:hideMark/>
          </w:tcPr>
          <w:p w14:paraId="05F04265" w14:textId="77777777" w:rsidR="00C820B8" w:rsidRPr="0064652A" w:rsidRDefault="008D7FC6">
            <w:pPr>
              <w:rPr>
                <w:color w:val="000000"/>
                <w:sz w:val="20"/>
                <w:szCs w:val="20"/>
              </w:rPr>
            </w:pPr>
            <w:r w:rsidRPr="0064652A">
              <w:rPr>
                <w:color w:val="000000"/>
                <w:sz w:val="20"/>
                <w:szCs w:val="20"/>
              </w:rPr>
              <w:t> </w:t>
            </w:r>
          </w:p>
        </w:tc>
      </w:tr>
      <w:tr w:rsidR="00C820B8" w:rsidRPr="0064652A" w14:paraId="14B7C907" w14:textId="77777777">
        <w:tc>
          <w:tcPr>
            <w:tcW w:w="0" w:type="auto"/>
            <w:tcMar>
              <w:top w:w="5" w:type="dxa"/>
              <w:left w:w="5" w:type="dxa"/>
              <w:bottom w:w="5" w:type="dxa"/>
              <w:right w:w="5" w:type="dxa"/>
            </w:tcMar>
            <w:vAlign w:val="bottom"/>
            <w:hideMark/>
          </w:tcPr>
          <w:p w14:paraId="5DE77814" w14:textId="77777777" w:rsidR="00C820B8" w:rsidRPr="0064652A" w:rsidRDefault="008D7FC6">
            <w:pPr>
              <w:ind w:left="360"/>
              <w:rPr>
                <w:color w:val="000000"/>
                <w:sz w:val="20"/>
                <w:szCs w:val="20"/>
              </w:rPr>
            </w:pPr>
            <w:r w:rsidRPr="0064652A">
              <w:rPr>
                <w:color w:val="000000"/>
                <w:sz w:val="20"/>
                <w:szCs w:val="20"/>
              </w:rPr>
              <w:t>Prepaid purchases</w:t>
            </w:r>
          </w:p>
        </w:tc>
        <w:tc>
          <w:tcPr>
            <w:tcW w:w="50" w:type="pct"/>
            <w:tcMar>
              <w:top w:w="5" w:type="dxa"/>
              <w:left w:w="5" w:type="dxa"/>
              <w:bottom w:w="5" w:type="dxa"/>
              <w:right w:w="5" w:type="dxa"/>
            </w:tcMar>
            <w:vAlign w:val="bottom"/>
            <w:hideMark/>
          </w:tcPr>
          <w:p w14:paraId="13F66FC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02A2CCE"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D05D80B" w14:textId="77777777" w:rsidR="00C820B8" w:rsidRPr="0064652A" w:rsidRDefault="008D7FC6">
            <w:pPr>
              <w:jc w:val="right"/>
              <w:rPr>
                <w:color w:val="000000"/>
                <w:sz w:val="20"/>
                <w:szCs w:val="20"/>
              </w:rPr>
            </w:pPr>
            <w:r w:rsidRPr="0064652A">
              <w:rPr>
                <w:color w:val="000000"/>
                <w:sz w:val="20"/>
                <w:szCs w:val="20"/>
              </w:rPr>
              <w:t>137</w:t>
            </w:r>
          </w:p>
        </w:tc>
        <w:tc>
          <w:tcPr>
            <w:tcW w:w="50" w:type="pct"/>
            <w:noWrap/>
            <w:tcMar>
              <w:top w:w="5" w:type="dxa"/>
              <w:left w:w="5" w:type="dxa"/>
              <w:bottom w:w="5" w:type="dxa"/>
              <w:right w:w="5" w:type="dxa"/>
            </w:tcMar>
            <w:vAlign w:val="bottom"/>
            <w:hideMark/>
          </w:tcPr>
          <w:p w14:paraId="043DE58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59C3DF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6023493"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7DA7D14D" w14:textId="77777777" w:rsidR="00C820B8" w:rsidRPr="0064652A" w:rsidRDefault="008D7FC6">
            <w:pPr>
              <w:jc w:val="right"/>
              <w:rPr>
                <w:color w:val="000000"/>
                <w:sz w:val="20"/>
                <w:szCs w:val="20"/>
              </w:rPr>
            </w:pPr>
            <w:r w:rsidRPr="0064652A">
              <w:rPr>
                <w:color w:val="000000"/>
                <w:sz w:val="20"/>
                <w:szCs w:val="20"/>
              </w:rPr>
              <w:t>247</w:t>
            </w:r>
          </w:p>
        </w:tc>
        <w:tc>
          <w:tcPr>
            <w:tcW w:w="50" w:type="pct"/>
            <w:noWrap/>
            <w:tcMar>
              <w:top w:w="5" w:type="dxa"/>
              <w:left w:w="5" w:type="dxa"/>
              <w:bottom w:w="5" w:type="dxa"/>
              <w:right w:w="5" w:type="dxa"/>
            </w:tcMar>
            <w:vAlign w:val="bottom"/>
            <w:hideMark/>
          </w:tcPr>
          <w:p w14:paraId="2A157860" w14:textId="77777777" w:rsidR="00C820B8" w:rsidRPr="0064652A" w:rsidRDefault="008D7FC6">
            <w:pPr>
              <w:rPr>
                <w:color w:val="000000"/>
                <w:sz w:val="20"/>
                <w:szCs w:val="20"/>
              </w:rPr>
            </w:pPr>
            <w:r w:rsidRPr="0064652A">
              <w:rPr>
                <w:color w:val="000000"/>
                <w:sz w:val="20"/>
                <w:szCs w:val="20"/>
              </w:rPr>
              <w:t> </w:t>
            </w:r>
          </w:p>
        </w:tc>
      </w:tr>
      <w:tr w:rsidR="00C820B8" w:rsidRPr="0064652A" w14:paraId="189D5224" w14:textId="77777777">
        <w:tc>
          <w:tcPr>
            <w:tcW w:w="0" w:type="auto"/>
            <w:tcMar>
              <w:top w:w="5" w:type="dxa"/>
              <w:left w:w="5" w:type="dxa"/>
              <w:bottom w:w="5" w:type="dxa"/>
              <w:right w:w="5" w:type="dxa"/>
            </w:tcMar>
            <w:vAlign w:val="bottom"/>
            <w:hideMark/>
          </w:tcPr>
          <w:p w14:paraId="69A7D653" w14:textId="77777777" w:rsidR="00C820B8" w:rsidRPr="0064652A" w:rsidRDefault="008D7FC6">
            <w:pPr>
              <w:ind w:left="360"/>
              <w:rPr>
                <w:color w:val="000000"/>
                <w:sz w:val="20"/>
                <w:szCs w:val="20"/>
              </w:rPr>
            </w:pPr>
            <w:r w:rsidRPr="0064652A">
              <w:rPr>
                <w:color w:val="000000"/>
                <w:sz w:val="20"/>
                <w:szCs w:val="20"/>
              </w:rPr>
              <w:t>Prepaid expenses and other current assets</w:t>
            </w:r>
          </w:p>
        </w:tc>
        <w:tc>
          <w:tcPr>
            <w:tcW w:w="50" w:type="pct"/>
            <w:tcMar>
              <w:top w:w="5" w:type="dxa"/>
              <w:left w:w="5" w:type="dxa"/>
              <w:bottom w:w="5" w:type="dxa"/>
              <w:right w:w="5" w:type="dxa"/>
            </w:tcMar>
            <w:vAlign w:val="bottom"/>
            <w:hideMark/>
          </w:tcPr>
          <w:p w14:paraId="66D6249D"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0477B8B"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15B5B8A" w14:textId="77777777" w:rsidR="00C820B8" w:rsidRPr="0064652A" w:rsidRDefault="008D7FC6">
            <w:pPr>
              <w:jc w:val="right"/>
              <w:rPr>
                <w:color w:val="000000"/>
                <w:sz w:val="20"/>
                <w:szCs w:val="20"/>
              </w:rPr>
            </w:pPr>
            <w:r w:rsidRPr="0064652A">
              <w:rPr>
                <w:color w:val="000000"/>
                <w:sz w:val="20"/>
                <w:szCs w:val="20"/>
              </w:rPr>
              <w:t>364</w:t>
            </w:r>
          </w:p>
        </w:tc>
        <w:tc>
          <w:tcPr>
            <w:tcW w:w="50" w:type="pct"/>
            <w:noWrap/>
            <w:tcMar>
              <w:top w:w="5" w:type="dxa"/>
              <w:left w:w="5" w:type="dxa"/>
              <w:bottom w:w="20" w:type="dxa"/>
              <w:right w:w="5" w:type="dxa"/>
            </w:tcMar>
            <w:vAlign w:val="bottom"/>
            <w:hideMark/>
          </w:tcPr>
          <w:p w14:paraId="78D3810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5096605"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49BB97D"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527CAEC" w14:textId="77777777" w:rsidR="00C820B8" w:rsidRPr="0064652A" w:rsidRDefault="008D7FC6">
            <w:pPr>
              <w:jc w:val="right"/>
              <w:rPr>
                <w:color w:val="000000"/>
                <w:sz w:val="20"/>
                <w:szCs w:val="20"/>
              </w:rPr>
            </w:pPr>
            <w:r w:rsidRPr="0064652A">
              <w:rPr>
                <w:color w:val="000000"/>
                <w:sz w:val="20"/>
                <w:szCs w:val="20"/>
              </w:rPr>
              <w:t>357</w:t>
            </w:r>
          </w:p>
        </w:tc>
        <w:tc>
          <w:tcPr>
            <w:tcW w:w="50" w:type="pct"/>
            <w:noWrap/>
            <w:tcMar>
              <w:top w:w="5" w:type="dxa"/>
              <w:left w:w="5" w:type="dxa"/>
              <w:bottom w:w="20" w:type="dxa"/>
              <w:right w:w="5" w:type="dxa"/>
            </w:tcMar>
            <w:vAlign w:val="bottom"/>
            <w:hideMark/>
          </w:tcPr>
          <w:p w14:paraId="72A0A9C1" w14:textId="77777777" w:rsidR="00C820B8" w:rsidRPr="0064652A" w:rsidRDefault="008D7FC6">
            <w:pPr>
              <w:rPr>
                <w:color w:val="000000"/>
                <w:sz w:val="20"/>
                <w:szCs w:val="20"/>
              </w:rPr>
            </w:pPr>
            <w:r w:rsidRPr="0064652A">
              <w:rPr>
                <w:color w:val="000000"/>
                <w:sz w:val="20"/>
                <w:szCs w:val="20"/>
              </w:rPr>
              <w:t> </w:t>
            </w:r>
          </w:p>
        </w:tc>
      </w:tr>
      <w:tr w:rsidR="00C820B8" w:rsidRPr="0064652A" w14:paraId="6F5DF413" w14:textId="77777777">
        <w:tc>
          <w:tcPr>
            <w:tcW w:w="0" w:type="auto"/>
            <w:tcMar>
              <w:top w:w="5" w:type="dxa"/>
              <w:left w:w="5" w:type="dxa"/>
              <w:bottom w:w="5" w:type="dxa"/>
              <w:right w:w="5" w:type="dxa"/>
            </w:tcMar>
            <w:vAlign w:val="bottom"/>
            <w:hideMark/>
          </w:tcPr>
          <w:p w14:paraId="666500D3" w14:textId="77777777" w:rsidR="00C820B8" w:rsidRPr="0064652A" w:rsidRDefault="008D7FC6">
            <w:pPr>
              <w:ind w:left="720"/>
              <w:rPr>
                <w:color w:val="000000"/>
                <w:sz w:val="20"/>
                <w:szCs w:val="20"/>
              </w:rPr>
            </w:pPr>
            <w:r w:rsidRPr="0064652A">
              <w:rPr>
                <w:color w:val="000000"/>
                <w:sz w:val="20"/>
                <w:szCs w:val="20"/>
              </w:rPr>
              <w:t>Total Current Assets</w:t>
            </w:r>
          </w:p>
        </w:tc>
        <w:tc>
          <w:tcPr>
            <w:tcW w:w="50" w:type="pct"/>
            <w:tcMar>
              <w:top w:w="5" w:type="dxa"/>
              <w:left w:w="5" w:type="dxa"/>
              <w:bottom w:w="5" w:type="dxa"/>
              <w:right w:w="5" w:type="dxa"/>
            </w:tcMar>
            <w:vAlign w:val="bottom"/>
            <w:hideMark/>
          </w:tcPr>
          <w:p w14:paraId="4BDD7F0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B5E6033"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E9D2A4B" w14:textId="77777777" w:rsidR="00C820B8" w:rsidRPr="0064652A" w:rsidRDefault="008D7FC6">
            <w:pPr>
              <w:jc w:val="right"/>
              <w:rPr>
                <w:color w:val="000000"/>
                <w:sz w:val="20"/>
                <w:szCs w:val="20"/>
              </w:rPr>
            </w:pPr>
            <w:r w:rsidRPr="0064652A">
              <w:rPr>
                <w:color w:val="000000"/>
                <w:sz w:val="20"/>
                <w:szCs w:val="20"/>
              </w:rPr>
              <w:t>29,719</w:t>
            </w:r>
          </w:p>
        </w:tc>
        <w:tc>
          <w:tcPr>
            <w:tcW w:w="50" w:type="pct"/>
            <w:noWrap/>
            <w:tcMar>
              <w:top w:w="5" w:type="dxa"/>
              <w:left w:w="5" w:type="dxa"/>
              <w:bottom w:w="5" w:type="dxa"/>
              <w:right w:w="5" w:type="dxa"/>
            </w:tcMar>
            <w:vAlign w:val="bottom"/>
            <w:hideMark/>
          </w:tcPr>
          <w:p w14:paraId="2E6C47B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B0790A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C45C684"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BDD79FD" w14:textId="77777777" w:rsidR="00C820B8" w:rsidRPr="0064652A" w:rsidRDefault="008D7FC6">
            <w:pPr>
              <w:jc w:val="right"/>
              <w:rPr>
                <w:color w:val="000000"/>
                <w:sz w:val="20"/>
                <w:szCs w:val="20"/>
              </w:rPr>
            </w:pPr>
            <w:r w:rsidRPr="0064652A">
              <w:rPr>
                <w:color w:val="000000"/>
                <w:sz w:val="20"/>
                <w:szCs w:val="20"/>
              </w:rPr>
              <w:t>31,095</w:t>
            </w:r>
          </w:p>
        </w:tc>
        <w:tc>
          <w:tcPr>
            <w:tcW w:w="50" w:type="pct"/>
            <w:noWrap/>
            <w:tcMar>
              <w:top w:w="5" w:type="dxa"/>
              <w:left w:w="5" w:type="dxa"/>
              <w:bottom w:w="5" w:type="dxa"/>
              <w:right w:w="5" w:type="dxa"/>
            </w:tcMar>
            <w:vAlign w:val="bottom"/>
            <w:hideMark/>
          </w:tcPr>
          <w:p w14:paraId="5A9DB60D" w14:textId="77777777" w:rsidR="00C820B8" w:rsidRPr="0064652A" w:rsidRDefault="008D7FC6">
            <w:pPr>
              <w:rPr>
                <w:color w:val="000000"/>
                <w:sz w:val="20"/>
                <w:szCs w:val="20"/>
              </w:rPr>
            </w:pPr>
            <w:r w:rsidRPr="0064652A">
              <w:rPr>
                <w:color w:val="000000"/>
                <w:sz w:val="20"/>
                <w:szCs w:val="20"/>
              </w:rPr>
              <w:t> </w:t>
            </w:r>
          </w:p>
        </w:tc>
      </w:tr>
      <w:tr w:rsidR="00C820B8" w:rsidRPr="0064652A" w14:paraId="0A07ACE6" w14:textId="77777777">
        <w:tc>
          <w:tcPr>
            <w:tcW w:w="0" w:type="auto"/>
            <w:tcMar>
              <w:top w:w="5" w:type="dxa"/>
              <w:left w:w="5" w:type="dxa"/>
              <w:bottom w:w="5" w:type="dxa"/>
              <w:right w:w="5" w:type="dxa"/>
            </w:tcMar>
            <w:vAlign w:val="bottom"/>
            <w:hideMark/>
          </w:tcPr>
          <w:p w14:paraId="02697790" w14:textId="77777777" w:rsidR="00C820B8" w:rsidRPr="0064652A" w:rsidRDefault="008D7FC6">
            <w:pPr>
              <w:rPr>
                <w:color w:val="000000"/>
                <w:sz w:val="20"/>
                <w:szCs w:val="20"/>
              </w:rPr>
            </w:pPr>
            <w:r w:rsidRPr="0064652A">
              <w:rPr>
                <w:color w:val="000000"/>
                <w:sz w:val="20"/>
                <w:szCs w:val="20"/>
              </w:rPr>
              <w:t>Non-Current Assets:</w:t>
            </w:r>
          </w:p>
        </w:tc>
        <w:tc>
          <w:tcPr>
            <w:tcW w:w="0" w:type="auto"/>
            <w:tcMar>
              <w:top w:w="5" w:type="dxa"/>
              <w:left w:w="5" w:type="dxa"/>
              <w:bottom w:w="5" w:type="dxa"/>
              <w:right w:w="5" w:type="dxa"/>
            </w:tcMar>
            <w:vAlign w:val="bottom"/>
            <w:hideMark/>
          </w:tcPr>
          <w:p w14:paraId="231C902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9D1FA0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772170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EE9D5E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BC117B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9B8159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621CFC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A2BB691" w14:textId="77777777" w:rsidR="00C820B8" w:rsidRPr="0064652A" w:rsidRDefault="008D7FC6">
            <w:pPr>
              <w:rPr>
                <w:color w:val="000000"/>
                <w:sz w:val="20"/>
                <w:szCs w:val="20"/>
              </w:rPr>
            </w:pPr>
            <w:r w:rsidRPr="0064652A">
              <w:rPr>
                <w:color w:val="000000"/>
                <w:sz w:val="20"/>
                <w:szCs w:val="20"/>
              </w:rPr>
              <w:t> </w:t>
            </w:r>
          </w:p>
        </w:tc>
      </w:tr>
      <w:tr w:rsidR="00C820B8" w:rsidRPr="0064652A" w14:paraId="3086A2D5" w14:textId="77777777">
        <w:tc>
          <w:tcPr>
            <w:tcW w:w="0" w:type="auto"/>
            <w:tcMar>
              <w:top w:w="5" w:type="dxa"/>
              <w:left w:w="5" w:type="dxa"/>
              <w:bottom w:w="5" w:type="dxa"/>
              <w:right w:w="5" w:type="dxa"/>
            </w:tcMar>
            <w:vAlign w:val="bottom"/>
            <w:hideMark/>
          </w:tcPr>
          <w:p w14:paraId="6380AD53" w14:textId="77777777" w:rsidR="00C820B8" w:rsidRPr="0064652A" w:rsidRDefault="008D7FC6">
            <w:pPr>
              <w:ind w:left="360"/>
              <w:rPr>
                <w:color w:val="000000"/>
                <w:sz w:val="20"/>
                <w:szCs w:val="20"/>
              </w:rPr>
            </w:pPr>
            <w:r w:rsidRPr="0064652A">
              <w:rPr>
                <w:color w:val="000000"/>
                <w:sz w:val="20"/>
                <w:szCs w:val="20"/>
              </w:rPr>
              <w:t>Property and equipment, net</w:t>
            </w:r>
          </w:p>
        </w:tc>
        <w:tc>
          <w:tcPr>
            <w:tcW w:w="50" w:type="pct"/>
            <w:tcMar>
              <w:top w:w="5" w:type="dxa"/>
              <w:left w:w="5" w:type="dxa"/>
              <w:bottom w:w="5" w:type="dxa"/>
              <w:right w:w="5" w:type="dxa"/>
            </w:tcMar>
            <w:vAlign w:val="bottom"/>
            <w:hideMark/>
          </w:tcPr>
          <w:p w14:paraId="5A8624B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73B58F8"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AD10FC9" w14:textId="77777777" w:rsidR="00C820B8" w:rsidRPr="0064652A" w:rsidRDefault="008D7FC6">
            <w:pPr>
              <w:jc w:val="right"/>
              <w:rPr>
                <w:color w:val="000000"/>
                <w:sz w:val="20"/>
                <w:szCs w:val="20"/>
              </w:rPr>
            </w:pPr>
            <w:r w:rsidRPr="0064652A">
              <w:rPr>
                <w:color w:val="000000"/>
                <w:sz w:val="20"/>
                <w:szCs w:val="20"/>
              </w:rPr>
              <w:t>91</w:t>
            </w:r>
          </w:p>
        </w:tc>
        <w:tc>
          <w:tcPr>
            <w:tcW w:w="50" w:type="pct"/>
            <w:noWrap/>
            <w:tcMar>
              <w:top w:w="5" w:type="dxa"/>
              <w:left w:w="5" w:type="dxa"/>
              <w:bottom w:w="5" w:type="dxa"/>
              <w:right w:w="5" w:type="dxa"/>
            </w:tcMar>
            <w:vAlign w:val="bottom"/>
            <w:hideMark/>
          </w:tcPr>
          <w:p w14:paraId="71578F3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71E6BA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513C4F2"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277605E" w14:textId="77777777" w:rsidR="00C820B8" w:rsidRPr="0064652A" w:rsidRDefault="008D7FC6">
            <w:pPr>
              <w:jc w:val="right"/>
              <w:rPr>
                <w:color w:val="000000"/>
                <w:sz w:val="20"/>
                <w:szCs w:val="20"/>
              </w:rPr>
            </w:pPr>
            <w:r w:rsidRPr="0064652A">
              <w:rPr>
                <w:color w:val="000000"/>
                <w:sz w:val="20"/>
                <w:szCs w:val="20"/>
              </w:rPr>
              <w:t>1</w:t>
            </w:r>
          </w:p>
        </w:tc>
        <w:tc>
          <w:tcPr>
            <w:tcW w:w="50" w:type="pct"/>
            <w:noWrap/>
            <w:tcMar>
              <w:top w:w="5" w:type="dxa"/>
              <w:left w:w="5" w:type="dxa"/>
              <w:bottom w:w="5" w:type="dxa"/>
              <w:right w:w="5" w:type="dxa"/>
            </w:tcMar>
            <w:vAlign w:val="bottom"/>
            <w:hideMark/>
          </w:tcPr>
          <w:p w14:paraId="08B8B1B8" w14:textId="77777777" w:rsidR="00C820B8" w:rsidRPr="0064652A" w:rsidRDefault="008D7FC6">
            <w:pPr>
              <w:rPr>
                <w:color w:val="000000"/>
                <w:sz w:val="20"/>
                <w:szCs w:val="20"/>
              </w:rPr>
            </w:pPr>
            <w:r w:rsidRPr="0064652A">
              <w:rPr>
                <w:color w:val="000000"/>
                <w:sz w:val="20"/>
                <w:szCs w:val="20"/>
              </w:rPr>
              <w:t> </w:t>
            </w:r>
          </w:p>
        </w:tc>
      </w:tr>
      <w:tr w:rsidR="00C820B8" w:rsidRPr="0064652A" w14:paraId="3A7A7425" w14:textId="77777777">
        <w:tc>
          <w:tcPr>
            <w:tcW w:w="0" w:type="auto"/>
            <w:tcMar>
              <w:top w:w="5" w:type="dxa"/>
              <w:left w:w="5" w:type="dxa"/>
              <w:bottom w:w="5" w:type="dxa"/>
              <w:right w:w="5" w:type="dxa"/>
            </w:tcMar>
            <w:vAlign w:val="bottom"/>
            <w:hideMark/>
          </w:tcPr>
          <w:p w14:paraId="382187B1" w14:textId="77777777" w:rsidR="00C820B8" w:rsidRPr="0064652A" w:rsidRDefault="008D7FC6">
            <w:pPr>
              <w:ind w:left="360"/>
              <w:rPr>
                <w:color w:val="000000"/>
                <w:sz w:val="20"/>
                <w:szCs w:val="20"/>
              </w:rPr>
            </w:pPr>
            <w:r w:rsidRPr="0064652A">
              <w:rPr>
                <w:color w:val="000000"/>
                <w:sz w:val="20"/>
                <w:szCs w:val="20"/>
              </w:rPr>
              <w:t>Right-of-use asset-operating leases</w:t>
            </w:r>
          </w:p>
        </w:tc>
        <w:tc>
          <w:tcPr>
            <w:tcW w:w="50" w:type="pct"/>
            <w:tcMar>
              <w:top w:w="5" w:type="dxa"/>
              <w:left w:w="5" w:type="dxa"/>
              <w:bottom w:w="5" w:type="dxa"/>
              <w:right w:w="5" w:type="dxa"/>
            </w:tcMar>
            <w:vAlign w:val="bottom"/>
            <w:hideMark/>
          </w:tcPr>
          <w:p w14:paraId="795F619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B31062C"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2C6B81B" w14:textId="77777777" w:rsidR="00C820B8" w:rsidRPr="0064652A" w:rsidRDefault="008D7FC6">
            <w:pPr>
              <w:jc w:val="right"/>
              <w:rPr>
                <w:color w:val="000000"/>
                <w:sz w:val="20"/>
                <w:szCs w:val="20"/>
              </w:rPr>
            </w:pPr>
            <w:r w:rsidRPr="0064652A">
              <w:rPr>
                <w:color w:val="000000"/>
                <w:sz w:val="20"/>
                <w:szCs w:val="20"/>
              </w:rPr>
              <w:t>327</w:t>
            </w:r>
          </w:p>
        </w:tc>
        <w:tc>
          <w:tcPr>
            <w:tcW w:w="50" w:type="pct"/>
            <w:noWrap/>
            <w:tcMar>
              <w:top w:w="5" w:type="dxa"/>
              <w:left w:w="5" w:type="dxa"/>
              <w:bottom w:w="5" w:type="dxa"/>
              <w:right w:w="5" w:type="dxa"/>
            </w:tcMar>
            <w:vAlign w:val="bottom"/>
            <w:hideMark/>
          </w:tcPr>
          <w:p w14:paraId="1C91896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651D51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C69CB6B"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1ADBACF" w14:textId="77777777" w:rsidR="00C820B8" w:rsidRPr="0064652A" w:rsidRDefault="008D7FC6">
            <w:pPr>
              <w:jc w:val="right"/>
              <w:rPr>
                <w:color w:val="000000"/>
                <w:sz w:val="20"/>
                <w:szCs w:val="20"/>
              </w:rPr>
            </w:pPr>
            <w:r w:rsidRPr="0064652A">
              <w:rPr>
                <w:color w:val="000000"/>
                <w:sz w:val="20"/>
                <w:szCs w:val="20"/>
              </w:rPr>
              <w:t>200</w:t>
            </w:r>
          </w:p>
        </w:tc>
        <w:tc>
          <w:tcPr>
            <w:tcW w:w="50" w:type="pct"/>
            <w:noWrap/>
            <w:tcMar>
              <w:top w:w="5" w:type="dxa"/>
              <w:left w:w="5" w:type="dxa"/>
              <w:bottom w:w="5" w:type="dxa"/>
              <w:right w:w="5" w:type="dxa"/>
            </w:tcMar>
            <w:vAlign w:val="bottom"/>
            <w:hideMark/>
          </w:tcPr>
          <w:p w14:paraId="60E48977" w14:textId="77777777" w:rsidR="00C820B8" w:rsidRPr="0064652A" w:rsidRDefault="008D7FC6">
            <w:pPr>
              <w:rPr>
                <w:color w:val="000000"/>
                <w:sz w:val="20"/>
                <w:szCs w:val="20"/>
              </w:rPr>
            </w:pPr>
            <w:r w:rsidRPr="0064652A">
              <w:rPr>
                <w:color w:val="000000"/>
                <w:sz w:val="20"/>
                <w:szCs w:val="20"/>
              </w:rPr>
              <w:t> </w:t>
            </w:r>
          </w:p>
        </w:tc>
      </w:tr>
      <w:tr w:rsidR="00C820B8" w:rsidRPr="0064652A" w14:paraId="06A69161" w14:textId="77777777">
        <w:tc>
          <w:tcPr>
            <w:tcW w:w="0" w:type="auto"/>
            <w:tcMar>
              <w:top w:w="5" w:type="dxa"/>
              <w:left w:w="5" w:type="dxa"/>
              <w:bottom w:w="5" w:type="dxa"/>
              <w:right w:w="5" w:type="dxa"/>
            </w:tcMar>
            <w:vAlign w:val="bottom"/>
            <w:hideMark/>
          </w:tcPr>
          <w:p w14:paraId="06C68816" w14:textId="77777777" w:rsidR="00C820B8" w:rsidRPr="0064652A" w:rsidRDefault="008D7FC6">
            <w:pPr>
              <w:ind w:left="360"/>
              <w:rPr>
                <w:color w:val="000000"/>
                <w:sz w:val="20"/>
                <w:szCs w:val="20"/>
              </w:rPr>
            </w:pPr>
            <w:r w:rsidRPr="0064652A">
              <w:rPr>
                <w:color w:val="000000"/>
                <w:sz w:val="20"/>
                <w:szCs w:val="20"/>
              </w:rPr>
              <w:t>Right-of-use asset-finance leases</w:t>
            </w:r>
          </w:p>
        </w:tc>
        <w:tc>
          <w:tcPr>
            <w:tcW w:w="50" w:type="pct"/>
            <w:tcMar>
              <w:top w:w="5" w:type="dxa"/>
              <w:left w:w="5" w:type="dxa"/>
              <w:bottom w:w="5" w:type="dxa"/>
              <w:right w:w="5" w:type="dxa"/>
            </w:tcMar>
            <w:vAlign w:val="bottom"/>
            <w:hideMark/>
          </w:tcPr>
          <w:p w14:paraId="095F62E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B61E028"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4E126C3" w14:textId="77777777" w:rsidR="00C820B8" w:rsidRPr="0064652A" w:rsidRDefault="008D7FC6">
            <w:pPr>
              <w:jc w:val="right"/>
              <w:rPr>
                <w:color w:val="000000"/>
                <w:sz w:val="20"/>
                <w:szCs w:val="20"/>
              </w:rPr>
            </w:pPr>
            <w:r w:rsidRPr="0064652A">
              <w:rPr>
                <w:color w:val="000000"/>
                <w:sz w:val="20"/>
                <w:szCs w:val="20"/>
              </w:rPr>
              <w:t>1</w:t>
            </w:r>
          </w:p>
        </w:tc>
        <w:tc>
          <w:tcPr>
            <w:tcW w:w="50" w:type="pct"/>
            <w:noWrap/>
            <w:tcMar>
              <w:top w:w="5" w:type="dxa"/>
              <w:left w:w="5" w:type="dxa"/>
              <w:bottom w:w="5" w:type="dxa"/>
              <w:right w:w="5" w:type="dxa"/>
            </w:tcMar>
            <w:vAlign w:val="bottom"/>
            <w:hideMark/>
          </w:tcPr>
          <w:p w14:paraId="2C98E49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085BE2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5DCEDCF"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279BD98C" w14:textId="77777777" w:rsidR="00C820B8" w:rsidRPr="0064652A" w:rsidRDefault="008D7FC6">
            <w:pPr>
              <w:jc w:val="right"/>
              <w:rPr>
                <w:color w:val="000000"/>
                <w:sz w:val="20"/>
                <w:szCs w:val="20"/>
              </w:rPr>
            </w:pPr>
            <w:r w:rsidRPr="0064652A">
              <w:rPr>
                <w:color w:val="000000"/>
                <w:sz w:val="20"/>
                <w:szCs w:val="20"/>
              </w:rPr>
              <w:t>1</w:t>
            </w:r>
          </w:p>
        </w:tc>
        <w:tc>
          <w:tcPr>
            <w:tcW w:w="50" w:type="pct"/>
            <w:noWrap/>
            <w:tcMar>
              <w:top w:w="5" w:type="dxa"/>
              <w:left w:w="5" w:type="dxa"/>
              <w:bottom w:w="5" w:type="dxa"/>
              <w:right w:w="5" w:type="dxa"/>
            </w:tcMar>
            <w:vAlign w:val="bottom"/>
            <w:hideMark/>
          </w:tcPr>
          <w:p w14:paraId="20F58972" w14:textId="77777777" w:rsidR="00C820B8" w:rsidRPr="0064652A" w:rsidRDefault="008D7FC6">
            <w:pPr>
              <w:rPr>
                <w:color w:val="000000"/>
                <w:sz w:val="20"/>
                <w:szCs w:val="20"/>
              </w:rPr>
            </w:pPr>
            <w:r w:rsidRPr="0064652A">
              <w:rPr>
                <w:color w:val="000000"/>
                <w:sz w:val="20"/>
                <w:szCs w:val="20"/>
              </w:rPr>
              <w:t> </w:t>
            </w:r>
          </w:p>
        </w:tc>
      </w:tr>
      <w:tr w:rsidR="00C820B8" w:rsidRPr="0064652A" w14:paraId="244EBDAE" w14:textId="77777777">
        <w:tc>
          <w:tcPr>
            <w:tcW w:w="0" w:type="auto"/>
            <w:tcMar>
              <w:top w:w="5" w:type="dxa"/>
              <w:left w:w="5" w:type="dxa"/>
              <w:bottom w:w="5" w:type="dxa"/>
              <w:right w:w="5" w:type="dxa"/>
            </w:tcMar>
            <w:vAlign w:val="bottom"/>
            <w:hideMark/>
          </w:tcPr>
          <w:p w14:paraId="3F23DF7D" w14:textId="77777777" w:rsidR="00C820B8" w:rsidRPr="0064652A" w:rsidRDefault="008D7FC6">
            <w:pPr>
              <w:ind w:left="360"/>
              <w:rPr>
                <w:color w:val="000000"/>
                <w:sz w:val="20"/>
                <w:szCs w:val="20"/>
              </w:rPr>
            </w:pPr>
            <w:r w:rsidRPr="0064652A">
              <w:rPr>
                <w:color w:val="000000"/>
                <w:sz w:val="20"/>
                <w:szCs w:val="20"/>
              </w:rPr>
              <w:t>Other assets</w:t>
            </w:r>
          </w:p>
        </w:tc>
        <w:tc>
          <w:tcPr>
            <w:tcW w:w="50" w:type="pct"/>
            <w:tcMar>
              <w:top w:w="5" w:type="dxa"/>
              <w:left w:w="5" w:type="dxa"/>
              <w:bottom w:w="5" w:type="dxa"/>
              <w:right w:w="5" w:type="dxa"/>
            </w:tcMar>
            <w:vAlign w:val="bottom"/>
            <w:hideMark/>
          </w:tcPr>
          <w:p w14:paraId="5E4184CE"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290B273"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41A908F" w14:textId="77777777" w:rsidR="00C820B8" w:rsidRPr="0064652A" w:rsidRDefault="008D7FC6">
            <w:pPr>
              <w:jc w:val="right"/>
              <w:rPr>
                <w:color w:val="000000"/>
                <w:sz w:val="20"/>
                <w:szCs w:val="20"/>
              </w:rPr>
            </w:pPr>
            <w:r w:rsidRPr="0064652A">
              <w:rPr>
                <w:color w:val="000000"/>
                <w:sz w:val="20"/>
                <w:szCs w:val="20"/>
              </w:rPr>
              <w:t>84</w:t>
            </w:r>
          </w:p>
        </w:tc>
        <w:tc>
          <w:tcPr>
            <w:tcW w:w="50" w:type="pct"/>
            <w:noWrap/>
            <w:tcMar>
              <w:top w:w="5" w:type="dxa"/>
              <w:left w:w="5" w:type="dxa"/>
              <w:bottom w:w="20" w:type="dxa"/>
              <w:right w:w="5" w:type="dxa"/>
            </w:tcMar>
            <w:vAlign w:val="bottom"/>
            <w:hideMark/>
          </w:tcPr>
          <w:p w14:paraId="1A28B34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672E298"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06BAA5A"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D72FCF6" w14:textId="77777777" w:rsidR="00C820B8" w:rsidRPr="0064652A" w:rsidRDefault="008D7FC6">
            <w:pPr>
              <w:jc w:val="right"/>
              <w:rPr>
                <w:color w:val="000000"/>
                <w:sz w:val="20"/>
                <w:szCs w:val="20"/>
              </w:rPr>
            </w:pPr>
            <w:r w:rsidRPr="0064652A">
              <w:rPr>
                <w:color w:val="000000"/>
                <w:sz w:val="20"/>
                <w:szCs w:val="20"/>
              </w:rPr>
              <w:t>74</w:t>
            </w:r>
          </w:p>
        </w:tc>
        <w:tc>
          <w:tcPr>
            <w:tcW w:w="50" w:type="pct"/>
            <w:noWrap/>
            <w:tcMar>
              <w:top w:w="5" w:type="dxa"/>
              <w:left w:w="5" w:type="dxa"/>
              <w:bottom w:w="20" w:type="dxa"/>
              <w:right w:w="5" w:type="dxa"/>
            </w:tcMar>
            <w:vAlign w:val="bottom"/>
            <w:hideMark/>
          </w:tcPr>
          <w:p w14:paraId="1F5F4109" w14:textId="77777777" w:rsidR="00C820B8" w:rsidRPr="0064652A" w:rsidRDefault="008D7FC6">
            <w:pPr>
              <w:rPr>
                <w:color w:val="000000"/>
                <w:sz w:val="20"/>
                <w:szCs w:val="20"/>
              </w:rPr>
            </w:pPr>
            <w:r w:rsidRPr="0064652A">
              <w:rPr>
                <w:color w:val="000000"/>
                <w:sz w:val="20"/>
                <w:szCs w:val="20"/>
              </w:rPr>
              <w:t> </w:t>
            </w:r>
          </w:p>
        </w:tc>
      </w:tr>
      <w:tr w:rsidR="00C820B8" w:rsidRPr="0064652A" w14:paraId="331FC9A0" w14:textId="77777777">
        <w:tc>
          <w:tcPr>
            <w:tcW w:w="0" w:type="auto"/>
            <w:tcMar>
              <w:top w:w="5" w:type="dxa"/>
              <w:left w:w="5" w:type="dxa"/>
              <w:bottom w:w="5" w:type="dxa"/>
              <w:right w:w="5" w:type="dxa"/>
            </w:tcMar>
            <w:vAlign w:val="bottom"/>
            <w:hideMark/>
          </w:tcPr>
          <w:p w14:paraId="7BCF73A8" w14:textId="77777777" w:rsidR="00C820B8" w:rsidRPr="0064652A" w:rsidRDefault="008D7FC6">
            <w:pPr>
              <w:ind w:left="720"/>
              <w:rPr>
                <w:color w:val="000000"/>
                <w:sz w:val="20"/>
                <w:szCs w:val="20"/>
              </w:rPr>
            </w:pPr>
            <w:r w:rsidRPr="0064652A">
              <w:rPr>
                <w:color w:val="000000"/>
                <w:sz w:val="20"/>
                <w:szCs w:val="20"/>
              </w:rPr>
              <w:t>Total Non-Current Assets</w:t>
            </w:r>
          </w:p>
        </w:tc>
        <w:tc>
          <w:tcPr>
            <w:tcW w:w="50" w:type="pct"/>
            <w:tcMar>
              <w:top w:w="5" w:type="dxa"/>
              <w:left w:w="5" w:type="dxa"/>
              <w:bottom w:w="20" w:type="dxa"/>
              <w:right w:w="5" w:type="dxa"/>
            </w:tcMar>
            <w:vAlign w:val="bottom"/>
            <w:hideMark/>
          </w:tcPr>
          <w:p w14:paraId="6094DDC1"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A0C1A57"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D5B64A8" w14:textId="77777777" w:rsidR="00C820B8" w:rsidRPr="0064652A" w:rsidRDefault="008D7FC6">
            <w:pPr>
              <w:jc w:val="right"/>
              <w:rPr>
                <w:color w:val="000000"/>
                <w:sz w:val="20"/>
                <w:szCs w:val="20"/>
              </w:rPr>
            </w:pPr>
            <w:r w:rsidRPr="0064652A">
              <w:rPr>
                <w:color w:val="000000"/>
                <w:sz w:val="20"/>
                <w:szCs w:val="20"/>
              </w:rPr>
              <w:t>503</w:t>
            </w:r>
          </w:p>
        </w:tc>
        <w:tc>
          <w:tcPr>
            <w:tcW w:w="50" w:type="pct"/>
            <w:noWrap/>
            <w:tcMar>
              <w:top w:w="5" w:type="dxa"/>
              <w:left w:w="5" w:type="dxa"/>
              <w:bottom w:w="20" w:type="dxa"/>
              <w:right w:w="5" w:type="dxa"/>
            </w:tcMar>
            <w:vAlign w:val="bottom"/>
            <w:hideMark/>
          </w:tcPr>
          <w:p w14:paraId="46314DD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6C83C52F"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6308FFE"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010B6BF" w14:textId="77777777" w:rsidR="00C820B8" w:rsidRPr="0064652A" w:rsidRDefault="008D7FC6">
            <w:pPr>
              <w:jc w:val="right"/>
              <w:rPr>
                <w:color w:val="000000"/>
                <w:sz w:val="20"/>
                <w:szCs w:val="20"/>
              </w:rPr>
            </w:pPr>
            <w:r w:rsidRPr="0064652A">
              <w:rPr>
                <w:color w:val="000000"/>
                <w:sz w:val="20"/>
                <w:szCs w:val="20"/>
              </w:rPr>
              <w:t>276</w:t>
            </w:r>
          </w:p>
        </w:tc>
        <w:tc>
          <w:tcPr>
            <w:tcW w:w="50" w:type="pct"/>
            <w:noWrap/>
            <w:tcMar>
              <w:top w:w="5" w:type="dxa"/>
              <w:left w:w="5" w:type="dxa"/>
              <w:bottom w:w="20" w:type="dxa"/>
              <w:right w:w="5" w:type="dxa"/>
            </w:tcMar>
            <w:vAlign w:val="bottom"/>
            <w:hideMark/>
          </w:tcPr>
          <w:p w14:paraId="7C3FB56B" w14:textId="77777777" w:rsidR="00C820B8" w:rsidRPr="0064652A" w:rsidRDefault="008D7FC6">
            <w:pPr>
              <w:rPr>
                <w:color w:val="000000"/>
                <w:sz w:val="20"/>
                <w:szCs w:val="20"/>
              </w:rPr>
            </w:pPr>
            <w:r w:rsidRPr="0064652A">
              <w:rPr>
                <w:color w:val="000000"/>
                <w:sz w:val="20"/>
                <w:szCs w:val="20"/>
              </w:rPr>
              <w:t> </w:t>
            </w:r>
          </w:p>
        </w:tc>
      </w:tr>
      <w:tr w:rsidR="00C820B8" w:rsidRPr="0064652A" w14:paraId="7C2E5904" w14:textId="77777777">
        <w:tc>
          <w:tcPr>
            <w:tcW w:w="0" w:type="auto"/>
            <w:tcMar>
              <w:top w:w="5" w:type="dxa"/>
              <w:left w:w="5" w:type="dxa"/>
              <w:bottom w:w="5" w:type="dxa"/>
              <w:right w:w="5" w:type="dxa"/>
            </w:tcMar>
            <w:vAlign w:val="bottom"/>
            <w:hideMark/>
          </w:tcPr>
          <w:p w14:paraId="6586CD6C" w14:textId="77777777" w:rsidR="00C820B8" w:rsidRPr="0064652A" w:rsidRDefault="008D7FC6">
            <w:pPr>
              <w:ind w:left="720"/>
              <w:rPr>
                <w:color w:val="000000"/>
                <w:sz w:val="20"/>
                <w:szCs w:val="20"/>
              </w:rPr>
            </w:pPr>
            <w:r w:rsidRPr="0064652A">
              <w:rPr>
                <w:color w:val="000000"/>
                <w:sz w:val="20"/>
                <w:szCs w:val="20"/>
              </w:rPr>
              <w:t>Total Assets</w:t>
            </w:r>
          </w:p>
        </w:tc>
        <w:tc>
          <w:tcPr>
            <w:tcW w:w="50" w:type="pct"/>
            <w:tcMar>
              <w:top w:w="5" w:type="dxa"/>
              <w:left w:w="5" w:type="dxa"/>
              <w:bottom w:w="5" w:type="dxa"/>
              <w:right w:w="5" w:type="dxa"/>
            </w:tcMar>
            <w:vAlign w:val="bottom"/>
            <w:hideMark/>
          </w:tcPr>
          <w:p w14:paraId="7F83A151"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7D08EA4" w14:textId="77777777" w:rsidR="00C820B8" w:rsidRPr="0064652A" w:rsidRDefault="008D7FC6">
            <w:pPr>
              <w:rPr>
                <w:color w:val="000000"/>
                <w:sz w:val="20"/>
                <w:szCs w:val="20"/>
              </w:rPr>
            </w:pPr>
            <w:r w:rsidRPr="0064652A">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6FD3147" w14:textId="77777777" w:rsidR="00C820B8" w:rsidRPr="0064652A" w:rsidRDefault="008D7FC6">
            <w:pPr>
              <w:jc w:val="right"/>
              <w:rPr>
                <w:color w:val="000000"/>
                <w:sz w:val="20"/>
                <w:szCs w:val="20"/>
              </w:rPr>
            </w:pPr>
            <w:r w:rsidRPr="0064652A">
              <w:rPr>
                <w:color w:val="000000"/>
                <w:sz w:val="20"/>
                <w:szCs w:val="20"/>
              </w:rPr>
              <w:t>30,222</w:t>
            </w:r>
          </w:p>
        </w:tc>
        <w:tc>
          <w:tcPr>
            <w:tcW w:w="50" w:type="pct"/>
            <w:noWrap/>
            <w:tcMar>
              <w:top w:w="5" w:type="dxa"/>
              <w:left w:w="5" w:type="dxa"/>
              <w:bottom w:w="50" w:type="dxa"/>
              <w:right w:w="5" w:type="dxa"/>
            </w:tcMar>
            <w:vAlign w:val="bottom"/>
            <w:hideMark/>
          </w:tcPr>
          <w:p w14:paraId="0A58227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22F3FD7"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9B10AAD" w14:textId="77777777" w:rsidR="00C820B8" w:rsidRPr="0064652A" w:rsidRDefault="008D7FC6">
            <w:pPr>
              <w:rPr>
                <w:color w:val="000000"/>
                <w:sz w:val="20"/>
                <w:szCs w:val="20"/>
              </w:rPr>
            </w:pPr>
            <w:r w:rsidRPr="0064652A">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7F35428" w14:textId="77777777" w:rsidR="00C820B8" w:rsidRPr="0064652A" w:rsidRDefault="008D7FC6">
            <w:pPr>
              <w:jc w:val="right"/>
              <w:rPr>
                <w:color w:val="000000"/>
                <w:sz w:val="20"/>
                <w:szCs w:val="20"/>
              </w:rPr>
            </w:pPr>
            <w:r w:rsidRPr="0064652A">
              <w:rPr>
                <w:color w:val="000000"/>
                <w:sz w:val="20"/>
                <w:szCs w:val="20"/>
              </w:rPr>
              <w:t>31,371</w:t>
            </w:r>
          </w:p>
        </w:tc>
        <w:tc>
          <w:tcPr>
            <w:tcW w:w="50" w:type="pct"/>
            <w:noWrap/>
            <w:tcMar>
              <w:top w:w="5" w:type="dxa"/>
              <w:left w:w="5" w:type="dxa"/>
              <w:bottom w:w="50" w:type="dxa"/>
              <w:right w:w="5" w:type="dxa"/>
            </w:tcMar>
            <w:vAlign w:val="bottom"/>
            <w:hideMark/>
          </w:tcPr>
          <w:p w14:paraId="0CF05D0C" w14:textId="77777777" w:rsidR="00C820B8" w:rsidRPr="0064652A" w:rsidRDefault="008D7FC6">
            <w:pPr>
              <w:rPr>
                <w:color w:val="000000"/>
                <w:sz w:val="20"/>
                <w:szCs w:val="20"/>
              </w:rPr>
            </w:pPr>
            <w:r w:rsidRPr="0064652A">
              <w:rPr>
                <w:color w:val="000000"/>
                <w:sz w:val="20"/>
                <w:szCs w:val="20"/>
              </w:rPr>
              <w:t> </w:t>
            </w:r>
          </w:p>
        </w:tc>
      </w:tr>
      <w:tr w:rsidR="00C820B8" w:rsidRPr="0064652A" w14:paraId="37DF3188" w14:textId="77777777">
        <w:tc>
          <w:tcPr>
            <w:tcW w:w="0" w:type="auto"/>
            <w:tcMar>
              <w:top w:w="5" w:type="dxa"/>
              <w:left w:w="5" w:type="dxa"/>
              <w:bottom w:w="5" w:type="dxa"/>
              <w:right w:w="5" w:type="dxa"/>
            </w:tcMar>
            <w:vAlign w:val="bottom"/>
            <w:hideMark/>
          </w:tcPr>
          <w:p w14:paraId="1919EF7B" w14:textId="77777777" w:rsidR="00C820B8" w:rsidRPr="0064652A" w:rsidRDefault="008D7FC6">
            <w:pPr>
              <w:jc w:val="center"/>
              <w:rPr>
                <w:color w:val="000000"/>
                <w:sz w:val="20"/>
                <w:szCs w:val="20"/>
              </w:rPr>
            </w:pPr>
            <w:r w:rsidRPr="0064652A">
              <w:rPr>
                <w:b/>
                <w:bCs/>
                <w:color w:val="000000"/>
                <w:sz w:val="20"/>
                <w:szCs w:val="20"/>
              </w:rPr>
              <w:t>LIABILITIES AND SHAREHOLDERS’ EQUITY</w:t>
            </w:r>
          </w:p>
        </w:tc>
        <w:tc>
          <w:tcPr>
            <w:tcW w:w="0" w:type="auto"/>
            <w:tcMar>
              <w:top w:w="5" w:type="dxa"/>
              <w:left w:w="5" w:type="dxa"/>
              <w:bottom w:w="5" w:type="dxa"/>
              <w:right w:w="5" w:type="dxa"/>
            </w:tcMar>
            <w:vAlign w:val="bottom"/>
            <w:hideMark/>
          </w:tcPr>
          <w:p w14:paraId="1305136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4C7435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B6E6AE5" w14:textId="77777777" w:rsidR="00C820B8" w:rsidRPr="0064652A" w:rsidRDefault="008D7FC6">
            <w:pPr>
              <w:jc w:val="cente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6079F52"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2D77D53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93C9E2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58C87A6" w14:textId="77777777" w:rsidR="00C820B8" w:rsidRPr="0064652A" w:rsidRDefault="008D7FC6">
            <w:pPr>
              <w:jc w:val="cente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B3CD5B5" w14:textId="77777777" w:rsidR="00C820B8" w:rsidRPr="0064652A" w:rsidRDefault="008D7FC6">
            <w:pPr>
              <w:rPr>
                <w:color w:val="000000"/>
                <w:sz w:val="20"/>
                <w:szCs w:val="20"/>
              </w:rPr>
            </w:pPr>
            <w:r w:rsidRPr="0064652A">
              <w:rPr>
                <w:b/>
                <w:bCs/>
                <w:color w:val="000000"/>
                <w:sz w:val="20"/>
                <w:szCs w:val="20"/>
              </w:rPr>
              <w:t> </w:t>
            </w:r>
          </w:p>
        </w:tc>
      </w:tr>
      <w:tr w:rsidR="00C820B8" w:rsidRPr="0064652A" w14:paraId="529333D0" w14:textId="77777777">
        <w:tc>
          <w:tcPr>
            <w:tcW w:w="0" w:type="auto"/>
            <w:tcMar>
              <w:top w:w="5" w:type="dxa"/>
              <w:left w:w="5" w:type="dxa"/>
              <w:bottom w:w="5" w:type="dxa"/>
              <w:right w:w="5" w:type="dxa"/>
            </w:tcMar>
            <w:vAlign w:val="bottom"/>
            <w:hideMark/>
          </w:tcPr>
          <w:p w14:paraId="087C11C4" w14:textId="77777777" w:rsidR="00C820B8" w:rsidRPr="0064652A" w:rsidRDefault="008D7FC6">
            <w:pPr>
              <w:rPr>
                <w:color w:val="000000"/>
                <w:sz w:val="20"/>
                <w:szCs w:val="20"/>
              </w:rPr>
            </w:pPr>
            <w:r w:rsidRPr="0064652A">
              <w:rPr>
                <w:color w:val="000000"/>
                <w:sz w:val="20"/>
                <w:szCs w:val="20"/>
              </w:rPr>
              <w:t>Current Liabilities:</w:t>
            </w:r>
          </w:p>
        </w:tc>
        <w:tc>
          <w:tcPr>
            <w:tcW w:w="0" w:type="auto"/>
            <w:tcMar>
              <w:top w:w="5" w:type="dxa"/>
              <w:left w:w="5" w:type="dxa"/>
              <w:bottom w:w="5" w:type="dxa"/>
              <w:right w:w="5" w:type="dxa"/>
            </w:tcMar>
            <w:vAlign w:val="bottom"/>
            <w:hideMark/>
          </w:tcPr>
          <w:p w14:paraId="1AC23A2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83D117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9D3669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E133AF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2CB0C7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2A95A0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5EF14C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FFE1C5E" w14:textId="77777777" w:rsidR="00C820B8" w:rsidRPr="0064652A" w:rsidRDefault="008D7FC6">
            <w:pPr>
              <w:rPr>
                <w:color w:val="000000"/>
                <w:sz w:val="20"/>
                <w:szCs w:val="20"/>
              </w:rPr>
            </w:pPr>
            <w:r w:rsidRPr="0064652A">
              <w:rPr>
                <w:color w:val="000000"/>
                <w:sz w:val="20"/>
                <w:szCs w:val="20"/>
              </w:rPr>
              <w:t> </w:t>
            </w:r>
          </w:p>
        </w:tc>
      </w:tr>
      <w:tr w:rsidR="00C820B8" w:rsidRPr="0064652A" w14:paraId="2D674909" w14:textId="77777777">
        <w:tc>
          <w:tcPr>
            <w:tcW w:w="0" w:type="auto"/>
            <w:tcMar>
              <w:top w:w="5" w:type="dxa"/>
              <w:left w:w="5" w:type="dxa"/>
              <w:bottom w:w="5" w:type="dxa"/>
              <w:right w:w="5" w:type="dxa"/>
            </w:tcMar>
            <w:vAlign w:val="bottom"/>
            <w:hideMark/>
          </w:tcPr>
          <w:p w14:paraId="7437A187" w14:textId="77777777" w:rsidR="00C820B8" w:rsidRPr="0064652A" w:rsidRDefault="008D7FC6">
            <w:pPr>
              <w:ind w:left="360"/>
              <w:rPr>
                <w:color w:val="000000"/>
                <w:sz w:val="20"/>
                <w:szCs w:val="20"/>
              </w:rPr>
            </w:pPr>
            <w:r w:rsidRPr="0064652A">
              <w:rPr>
                <w:color w:val="000000"/>
                <w:sz w:val="20"/>
                <w:szCs w:val="20"/>
              </w:rPr>
              <w:t>Accounts payable and other current liabilities</w:t>
            </w:r>
          </w:p>
        </w:tc>
        <w:tc>
          <w:tcPr>
            <w:tcW w:w="50" w:type="pct"/>
            <w:tcMar>
              <w:top w:w="5" w:type="dxa"/>
              <w:left w:w="5" w:type="dxa"/>
              <w:bottom w:w="5" w:type="dxa"/>
              <w:right w:w="5" w:type="dxa"/>
            </w:tcMar>
            <w:vAlign w:val="bottom"/>
            <w:hideMark/>
          </w:tcPr>
          <w:p w14:paraId="153CB89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58379E9"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2FE8CACB" w14:textId="77777777" w:rsidR="00C820B8" w:rsidRPr="0064652A" w:rsidRDefault="008D7FC6">
            <w:pPr>
              <w:jc w:val="right"/>
              <w:rPr>
                <w:color w:val="000000"/>
                <w:sz w:val="20"/>
                <w:szCs w:val="20"/>
              </w:rPr>
            </w:pPr>
            <w:r w:rsidRPr="0064652A">
              <w:rPr>
                <w:color w:val="000000"/>
                <w:sz w:val="20"/>
                <w:szCs w:val="20"/>
              </w:rPr>
              <w:t>1,287</w:t>
            </w:r>
          </w:p>
        </w:tc>
        <w:tc>
          <w:tcPr>
            <w:tcW w:w="50" w:type="pct"/>
            <w:noWrap/>
            <w:tcMar>
              <w:top w:w="5" w:type="dxa"/>
              <w:left w:w="5" w:type="dxa"/>
              <w:bottom w:w="5" w:type="dxa"/>
              <w:right w:w="5" w:type="dxa"/>
            </w:tcMar>
            <w:vAlign w:val="bottom"/>
            <w:hideMark/>
          </w:tcPr>
          <w:p w14:paraId="10B89DD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58C47F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1B219DC"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896F72B" w14:textId="77777777" w:rsidR="00C820B8" w:rsidRPr="0064652A" w:rsidRDefault="008D7FC6">
            <w:pPr>
              <w:jc w:val="right"/>
              <w:rPr>
                <w:color w:val="000000"/>
                <w:sz w:val="20"/>
                <w:szCs w:val="20"/>
              </w:rPr>
            </w:pPr>
            <w:r w:rsidRPr="0064652A">
              <w:rPr>
                <w:color w:val="000000"/>
                <w:sz w:val="20"/>
                <w:szCs w:val="20"/>
              </w:rPr>
              <w:t>641</w:t>
            </w:r>
          </w:p>
        </w:tc>
        <w:tc>
          <w:tcPr>
            <w:tcW w:w="50" w:type="pct"/>
            <w:noWrap/>
            <w:tcMar>
              <w:top w:w="5" w:type="dxa"/>
              <w:left w:w="5" w:type="dxa"/>
              <w:bottom w:w="5" w:type="dxa"/>
              <w:right w:w="5" w:type="dxa"/>
            </w:tcMar>
            <w:vAlign w:val="bottom"/>
            <w:hideMark/>
          </w:tcPr>
          <w:p w14:paraId="02951C32" w14:textId="77777777" w:rsidR="00C820B8" w:rsidRPr="0064652A" w:rsidRDefault="008D7FC6">
            <w:pPr>
              <w:rPr>
                <w:color w:val="000000"/>
                <w:sz w:val="20"/>
                <w:szCs w:val="20"/>
              </w:rPr>
            </w:pPr>
            <w:r w:rsidRPr="0064652A">
              <w:rPr>
                <w:color w:val="000000"/>
                <w:sz w:val="20"/>
                <w:szCs w:val="20"/>
              </w:rPr>
              <w:t> </w:t>
            </w:r>
          </w:p>
        </w:tc>
      </w:tr>
      <w:tr w:rsidR="00C820B8" w:rsidRPr="0064652A" w14:paraId="559A0345" w14:textId="77777777">
        <w:tc>
          <w:tcPr>
            <w:tcW w:w="0" w:type="auto"/>
            <w:tcMar>
              <w:top w:w="5" w:type="dxa"/>
              <w:left w:w="5" w:type="dxa"/>
              <w:bottom w:w="5" w:type="dxa"/>
              <w:right w:w="5" w:type="dxa"/>
            </w:tcMar>
            <w:vAlign w:val="bottom"/>
            <w:hideMark/>
          </w:tcPr>
          <w:p w14:paraId="6E69B1D0" w14:textId="77777777" w:rsidR="00C820B8" w:rsidRPr="0064652A" w:rsidRDefault="008D7FC6">
            <w:pPr>
              <w:ind w:left="360"/>
              <w:rPr>
                <w:color w:val="000000"/>
                <w:sz w:val="20"/>
                <w:szCs w:val="20"/>
              </w:rPr>
            </w:pPr>
            <w:r w:rsidRPr="0064652A">
              <w:rPr>
                <w:color w:val="000000"/>
                <w:sz w:val="20"/>
                <w:szCs w:val="20"/>
              </w:rPr>
              <w:t>Due to affiliate</w:t>
            </w:r>
          </w:p>
        </w:tc>
        <w:tc>
          <w:tcPr>
            <w:tcW w:w="50" w:type="pct"/>
            <w:tcMar>
              <w:top w:w="5" w:type="dxa"/>
              <w:left w:w="5" w:type="dxa"/>
              <w:bottom w:w="5" w:type="dxa"/>
              <w:right w:w="5" w:type="dxa"/>
            </w:tcMar>
            <w:vAlign w:val="bottom"/>
            <w:hideMark/>
          </w:tcPr>
          <w:p w14:paraId="67D77DB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0FE806A"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4E913F6B" w14:textId="77777777" w:rsidR="00C820B8" w:rsidRPr="0064652A" w:rsidRDefault="008D7FC6">
            <w:pPr>
              <w:jc w:val="right"/>
              <w:rPr>
                <w:color w:val="000000"/>
                <w:sz w:val="20"/>
                <w:szCs w:val="20"/>
              </w:rPr>
            </w:pPr>
            <w:r w:rsidRPr="0064652A">
              <w:rPr>
                <w:color w:val="000000"/>
                <w:sz w:val="20"/>
                <w:szCs w:val="20"/>
              </w:rPr>
              <w:t>1</w:t>
            </w:r>
          </w:p>
        </w:tc>
        <w:tc>
          <w:tcPr>
            <w:tcW w:w="50" w:type="pct"/>
            <w:noWrap/>
            <w:tcMar>
              <w:top w:w="5" w:type="dxa"/>
              <w:left w:w="5" w:type="dxa"/>
              <w:bottom w:w="5" w:type="dxa"/>
              <w:right w:w="5" w:type="dxa"/>
            </w:tcMar>
            <w:vAlign w:val="bottom"/>
            <w:hideMark/>
          </w:tcPr>
          <w:p w14:paraId="353ACEB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C18994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6BCC9A7"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390E07C" w14:textId="77777777" w:rsidR="00C820B8" w:rsidRPr="0064652A" w:rsidRDefault="008D7FC6">
            <w:pPr>
              <w:jc w:val="right"/>
              <w:rPr>
                <w:color w:val="000000"/>
                <w:sz w:val="20"/>
                <w:szCs w:val="20"/>
              </w:rPr>
            </w:pPr>
            <w:r w:rsidRPr="0064652A">
              <w:rPr>
                <w:color w:val="000000"/>
                <w:sz w:val="20"/>
                <w:szCs w:val="20"/>
              </w:rPr>
              <w:t>1</w:t>
            </w:r>
          </w:p>
        </w:tc>
        <w:tc>
          <w:tcPr>
            <w:tcW w:w="50" w:type="pct"/>
            <w:noWrap/>
            <w:tcMar>
              <w:top w:w="5" w:type="dxa"/>
              <w:left w:w="5" w:type="dxa"/>
              <w:bottom w:w="5" w:type="dxa"/>
              <w:right w:w="5" w:type="dxa"/>
            </w:tcMar>
            <w:vAlign w:val="bottom"/>
            <w:hideMark/>
          </w:tcPr>
          <w:p w14:paraId="7800E68F" w14:textId="77777777" w:rsidR="00C820B8" w:rsidRPr="0064652A" w:rsidRDefault="008D7FC6">
            <w:pPr>
              <w:rPr>
                <w:color w:val="000000"/>
                <w:sz w:val="20"/>
                <w:szCs w:val="20"/>
              </w:rPr>
            </w:pPr>
            <w:r w:rsidRPr="0064652A">
              <w:rPr>
                <w:color w:val="000000"/>
                <w:sz w:val="20"/>
                <w:szCs w:val="20"/>
              </w:rPr>
              <w:t> </w:t>
            </w:r>
          </w:p>
        </w:tc>
      </w:tr>
      <w:tr w:rsidR="00C820B8" w:rsidRPr="0064652A" w14:paraId="7D58C641" w14:textId="77777777">
        <w:tc>
          <w:tcPr>
            <w:tcW w:w="0" w:type="auto"/>
            <w:tcMar>
              <w:top w:w="5" w:type="dxa"/>
              <w:left w:w="5" w:type="dxa"/>
              <w:bottom w:w="5" w:type="dxa"/>
              <w:right w:w="5" w:type="dxa"/>
            </w:tcMar>
            <w:vAlign w:val="bottom"/>
            <w:hideMark/>
          </w:tcPr>
          <w:p w14:paraId="107C49B5" w14:textId="77777777" w:rsidR="00C820B8" w:rsidRPr="0064652A" w:rsidRDefault="008D7FC6">
            <w:pPr>
              <w:ind w:left="360"/>
              <w:rPr>
                <w:color w:val="000000"/>
                <w:sz w:val="20"/>
                <w:szCs w:val="20"/>
              </w:rPr>
            </w:pPr>
            <w:r w:rsidRPr="0064652A">
              <w:rPr>
                <w:color w:val="000000"/>
                <w:sz w:val="20"/>
                <w:szCs w:val="20"/>
              </w:rPr>
              <w:t>Short-term operating lease liability</w:t>
            </w:r>
          </w:p>
        </w:tc>
        <w:tc>
          <w:tcPr>
            <w:tcW w:w="50" w:type="pct"/>
            <w:tcMar>
              <w:top w:w="5" w:type="dxa"/>
              <w:left w:w="5" w:type="dxa"/>
              <w:bottom w:w="5" w:type="dxa"/>
              <w:right w:w="5" w:type="dxa"/>
            </w:tcMar>
            <w:vAlign w:val="bottom"/>
            <w:hideMark/>
          </w:tcPr>
          <w:p w14:paraId="0B245DD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D313769"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4276800" w14:textId="77777777" w:rsidR="00C820B8" w:rsidRPr="0064652A" w:rsidRDefault="008D7FC6">
            <w:pPr>
              <w:jc w:val="right"/>
              <w:rPr>
                <w:color w:val="000000"/>
                <w:sz w:val="20"/>
                <w:szCs w:val="20"/>
              </w:rPr>
            </w:pPr>
            <w:r w:rsidRPr="0064652A">
              <w:rPr>
                <w:color w:val="000000"/>
                <w:sz w:val="20"/>
                <w:szCs w:val="20"/>
              </w:rPr>
              <w:t>128</w:t>
            </w:r>
          </w:p>
        </w:tc>
        <w:tc>
          <w:tcPr>
            <w:tcW w:w="50" w:type="pct"/>
            <w:noWrap/>
            <w:tcMar>
              <w:top w:w="5" w:type="dxa"/>
              <w:left w:w="5" w:type="dxa"/>
              <w:bottom w:w="5" w:type="dxa"/>
              <w:right w:w="5" w:type="dxa"/>
            </w:tcMar>
            <w:vAlign w:val="bottom"/>
            <w:hideMark/>
          </w:tcPr>
          <w:p w14:paraId="66CD8BF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67F2C8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7DC919D"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3CAE1AB" w14:textId="77777777" w:rsidR="00C820B8" w:rsidRPr="0064652A" w:rsidRDefault="008D7FC6">
            <w:pPr>
              <w:jc w:val="right"/>
              <w:rPr>
                <w:color w:val="000000"/>
                <w:sz w:val="20"/>
                <w:szCs w:val="20"/>
              </w:rPr>
            </w:pPr>
            <w:r w:rsidRPr="0064652A">
              <w:rPr>
                <w:color w:val="000000"/>
                <w:sz w:val="20"/>
                <w:szCs w:val="20"/>
              </w:rPr>
              <w:t>139</w:t>
            </w:r>
          </w:p>
        </w:tc>
        <w:tc>
          <w:tcPr>
            <w:tcW w:w="50" w:type="pct"/>
            <w:noWrap/>
            <w:tcMar>
              <w:top w:w="5" w:type="dxa"/>
              <w:left w:w="5" w:type="dxa"/>
              <w:bottom w:w="5" w:type="dxa"/>
              <w:right w:w="5" w:type="dxa"/>
            </w:tcMar>
            <w:vAlign w:val="bottom"/>
            <w:hideMark/>
          </w:tcPr>
          <w:p w14:paraId="0940285A" w14:textId="77777777" w:rsidR="00C820B8" w:rsidRPr="0064652A" w:rsidRDefault="008D7FC6">
            <w:pPr>
              <w:rPr>
                <w:color w:val="000000"/>
                <w:sz w:val="20"/>
                <w:szCs w:val="20"/>
              </w:rPr>
            </w:pPr>
            <w:r w:rsidRPr="0064652A">
              <w:rPr>
                <w:color w:val="000000"/>
                <w:sz w:val="20"/>
                <w:szCs w:val="20"/>
              </w:rPr>
              <w:t> </w:t>
            </w:r>
          </w:p>
        </w:tc>
      </w:tr>
      <w:tr w:rsidR="00C820B8" w:rsidRPr="0064652A" w14:paraId="0A85BE53" w14:textId="77777777">
        <w:tc>
          <w:tcPr>
            <w:tcW w:w="0" w:type="auto"/>
            <w:tcMar>
              <w:top w:w="5" w:type="dxa"/>
              <w:left w:w="5" w:type="dxa"/>
              <w:bottom w:w="5" w:type="dxa"/>
              <w:right w:w="5" w:type="dxa"/>
            </w:tcMar>
            <w:vAlign w:val="bottom"/>
            <w:hideMark/>
          </w:tcPr>
          <w:p w14:paraId="51BAA958" w14:textId="77777777" w:rsidR="00C820B8" w:rsidRPr="0064652A" w:rsidRDefault="008D7FC6">
            <w:pPr>
              <w:ind w:left="360"/>
              <w:rPr>
                <w:color w:val="000000"/>
                <w:sz w:val="20"/>
                <w:szCs w:val="20"/>
              </w:rPr>
            </w:pPr>
            <w:r w:rsidRPr="0064652A">
              <w:rPr>
                <w:color w:val="000000"/>
                <w:sz w:val="20"/>
                <w:szCs w:val="20"/>
              </w:rPr>
              <w:t>Short-term finance lease liability</w:t>
            </w:r>
          </w:p>
        </w:tc>
        <w:tc>
          <w:tcPr>
            <w:tcW w:w="50" w:type="pct"/>
            <w:tcMar>
              <w:top w:w="5" w:type="dxa"/>
              <w:left w:w="5" w:type="dxa"/>
              <w:bottom w:w="5" w:type="dxa"/>
              <w:right w:w="5" w:type="dxa"/>
            </w:tcMar>
            <w:vAlign w:val="bottom"/>
            <w:hideMark/>
          </w:tcPr>
          <w:p w14:paraId="00FF670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11FDA52"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E075BC7" w14:textId="77777777" w:rsidR="00C820B8" w:rsidRPr="0064652A" w:rsidRDefault="008D7FC6">
            <w:pPr>
              <w:jc w:val="right"/>
              <w:rPr>
                <w:color w:val="000000"/>
                <w:sz w:val="20"/>
                <w:szCs w:val="20"/>
              </w:rPr>
            </w:pPr>
            <w:r w:rsidRPr="0064652A">
              <w:rPr>
                <w:color w:val="000000"/>
                <w:sz w:val="20"/>
                <w:szCs w:val="20"/>
              </w:rPr>
              <w:t>1</w:t>
            </w:r>
          </w:p>
        </w:tc>
        <w:tc>
          <w:tcPr>
            <w:tcW w:w="50" w:type="pct"/>
            <w:noWrap/>
            <w:tcMar>
              <w:top w:w="5" w:type="dxa"/>
              <w:left w:w="5" w:type="dxa"/>
              <w:bottom w:w="5" w:type="dxa"/>
              <w:right w:w="5" w:type="dxa"/>
            </w:tcMar>
            <w:vAlign w:val="bottom"/>
            <w:hideMark/>
          </w:tcPr>
          <w:p w14:paraId="1B58940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0335C8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D71A9A5"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4C85E96B" w14:textId="77777777" w:rsidR="00C820B8" w:rsidRPr="0064652A" w:rsidRDefault="008D7FC6">
            <w:pPr>
              <w:jc w:val="right"/>
              <w:rPr>
                <w:color w:val="000000"/>
                <w:sz w:val="20"/>
                <w:szCs w:val="20"/>
              </w:rPr>
            </w:pPr>
            <w:r w:rsidRPr="0064652A">
              <w:rPr>
                <w:color w:val="000000"/>
                <w:sz w:val="20"/>
                <w:szCs w:val="20"/>
              </w:rPr>
              <w:t>1</w:t>
            </w:r>
          </w:p>
        </w:tc>
        <w:tc>
          <w:tcPr>
            <w:tcW w:w="50" w:type="pct"/>
            <w:noWrap/>
            <w:tcMar>
              <w:top w:w="5" w:type="dxa"/>
              <w:left w:w="5" w:type="dxa"/>
              <w:bottom w:w="5" w:type="dxa"/>
              <w:right w:w="5" w:type="dxa"/>
            </w:tcMar>
            <w:vAlign w:val="bottom"/>
            <w:hideMark/>
          </w:tcPr>
          <w:p w14:paraId="48589CD7" w14:textId="77777777" w:rsidR="00C820B8" w:rsidRPr="0064652A" w:rsidRDefault="008D7FC6">
            <w:pPr>
              <w:rPr>
                <w:color w:val="000000"/>
                <w:sz w:val="20"/>
                <w:szCs w:val="20"/>
              </w:rPr>
            </w:pPr>
            <w:r w:rsidRPr="0064652A">
              <w:rPr>
                <w:color w:val="000000"/>
                <w:sz w:val="20"/>
                <w:szCs w:val="20"/>
              </w:rPr>
              <w:t> </w:t>
            </w:r>
          </w:p>
        </w:tc>
      </w:tr>
      <w:tr w:rsidR="00C820B8" w:rsidRPr="0064652A" w14:paraId="6DF6A92F" w14:textId="77777777">
        <w:tc>
          <w:tcPr>
            <w:tcW w:w="0" w:type="auto"/>
            <w:tcMar>
              <w:top w:w="5" w:type="dxa"/>
              <w:left w:w="5" w:type="dxa"/>
              <w:bottom w:w="5" w:type="dxa"/>
              <w:right w:w="5" w:type="dxa"/>
            </w:tcMar>
            <w:vAlign w:val="bottom"/>
            <w:hideMark/>
          </w:tcPr>
          <w:p w14:paraId="47E31DF0" w14:textId="77777777" w:rsidR="00C820B8" w:rsidRPr="0064652A" w:rsidRDefault="008D7FC6">
            <w:pPr>
              <w:ind w:left="360"/>
              <w:rPr>
                <w:color w:val="000000"/>
                <w:sz w:val="20"/>
                <w:szCs w:val="20"/>
              </w:rPr>
            </w:pPr>
            <w:r w:rsidRPr="0064652A">
              <w:rPr>
                <w:color w:val="000000"/>
                <w:sz w:val="20"/>
                <w:szCs w:val="20"/>
              </w:rPr>
              <w:t>Income tax payable, current portion</w:t>
            </w:r>
          </w:p>
        </w:tc>
        <w:tc>
          <w:tcPr>
            <w:tcW w:w="50" w:type="pct"/>
            <w:tcMar>
              <w:top w:w="5" w:type="dxa"/>
              <w:left w:w="5" w:type="dxa"/>
              <w:bottom w:w="5" w:type="dxa"/>
              <w:right w:w="5" w:type="dxa"/>
            </w:tcMar>
            <w:vAlign w:val="bottom"/>
            <w:hideMark/>
          </w:tcPr>
          <w:p w14:paraId="6F006B5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E229256"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F54F431" w14:textId="77777777" w:rsidR="00C820B8" w:rsidRPr="0064652A" w:rsidRDefault="008D7FC6">
            <w:pPr>
              <w:jc w:val="right"/>
              <w:rPr>
                <w:color w:val="000000"/>
                <w:sz w:val="20"/>
                <w:szCs w:val="20"/>
              </w:rPr>
            </w:pPr>
            <w:r w:rsidRPr="0064652A">
              <w:rPr>
                <w:color w:val="000000"/>
                <w:sz w:val="20"/>
                <w:szCs w:val="20"/>
              </w:rPr>
              <w:t>609</w:t>
            </w:r>
          </w:p>
        </w:tc>
        <w:tc>
          <w:tcPr>
            <w:tcW w:w="50" w:type="pct"/>
            <w:noWrap/>
            <w:tcMar>
              <w:top w:w="5" w:type="dxa"/>
              <w:left w:w="5" w:type="dxa"/>
              <w:bottom w:w="5" w:type="dxa"/>
              <w:right w:w="5" w:type="dxa"/>
            </w:tcMar>
            <w:vAlign w:val="bottom"/>
            <w:hideMark/>
          </w:tcPr>
          <w:p w14:paraId="4928B48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9A23F6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0678AF8"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F4B0E2E" w14:textId="77777777" w:rsidR="00C820B8" w:rsidRPr="0064652A" w:rsidRDefault="008D7FC6">
            <w:pPr>
              <w:jc w:val="right"/>
              <w:rPr>
                <w:color w:val="000000"/>
                <w:sz w:val="20"/>
                <w:szCs w:val="20"/>
              </w:rPr>
            </w:pPr>
            <w:r w:rsidRPr="0064652A">
              <w:rPr>
                <w:color w:val="000000"/>
                <w:sz w:val="20"/>
                <w:szCs w:val="20"/>
              </w:rPr>
              <w:t>401</w:t>
            </w:r>
          </w:p>
        </w:tc>
        <w:tc>
          <w:tcPr>
            <w:tcW w:w="50" w:type="pct"/>
            <w:noWrap/>
            <w:tcMar>
              <w:top w:w="5" w:type="dxa"/>
              <w:left w:w="5" w:type="dxa"/>
              <w:bottom w:w="5" w:type="dxa"/>
              <w:right w:w="5" w:type="dxa"/>
            </w:tcMar>
            <w:vAlign w:val="bottom"/>
            <w:hideMark/>
          </w:tcPr>
          <w:p w14:paraId="3D6BDC7E" w14:textId="77777777" w:rsidR="00C820B8" w:rsidRPr="0064652A" w:rsidRDefault="008D7FC6">
            <w:pPr>
              <w:rPr>
                <w:color w:val="000000"/>
                <w:sz w:val="20"/>
                <w:szCs w:val="20"/>
              </w:rPr>
            </w:pPr>
            <w:r w:rsidRPr="0064652A">
              <w:rPr>
                <w:color w:val="000000"/>
                <w:sz w:val="20"/>
                <w:szCs w:val="20"/>
              </w:rPr>
              <w:t> </w:t>
            </w:r>
          </w:p>
        </w:tc>
      </w:tr>
      <w:tr w:rsidR="00C820B8" w:rsidRPr="0064652A" w14:paraId="54897143" w14:textId="77777777">
        <w:tc>
          <w:tcPr>
            <w:tcW w:w="0" w:type="auto"/>
            <w:tcMar>
              <w:top w:w="5" w:type="dxa"/>
              <w:left w:w="5" w:type="dxa"/>
              <w:bottom w:w="5" w:type="dxa"/>
              <w:right w:w="5" w:type="dxa"/>
            </w:tcMar>
            <w:vAlign w:val="bottom"/>
            <w:hideMark/>
          </w:tcPr>
          <w:p w14:paraId="2AC560FE" w14:textId="77777777" w:rsidR="00C820B8" w:rsidRPr="0064652A" w:rsidRDefault="008D7FC6">
            <w:pPr>
              <w:ind w:firstLine="360"/>
              <w:rPr>
                <w:color w:val="000000"/>
                <w:sz w:val="20"/>
                <w:szCs w:val="20"/>
              </w:rPr>
            </w:pPr>
            <w:r w:rsidRPr="0064652A">
              <w:rPr>
                <w:color w:val="000000"/>
                <w:sz w:val="20"/>
                <w:szCs w:val="20"/>
              </w:rPr>
              <w:t>Advanced deposits</w:t>
            </w:r>
          </w:p>
        </w:tc>
        <w:tc>
          <w:tcPr>
            <w:tcW w:w="50" w:type="pct"/>
            <w:tcMar>
              <w:top w:w="5" w:type="dxa"/>
              <w:left w:w="5" w:type="dxa"/>
              <w:bottom w:w="5" w:type="dxa"/>
              <w:right w:w="5" w:type="dxa"/>
            </w:tcMar>
            <w:vAlign w:val="bottom"/>
            <w:hideMark/>
          </w:tcPr>
          <w:p w14:paraId="7126BFE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69D9DCB"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7BB65AA"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0B37FA6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D8E44D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5F3DCDF"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76D3F17" w14:textId="77777777" w:rsidR="00C820B8" w:rsidRPr="0064652A" w:rsidRDefault="008D7FC6">
            <w:pPr>
              <w:jc w:val="right"/>
              <w:rPr>
                <w:color w:val="000000"/>
                <w:sz w:val="20"/>
                <w:szCs w:val="20"/>
              </w:rPr>
            </w:pPr>
            <w:r w:rsidRPr="0064652A">
              <w:rPr>
                <w:color w:val="000000"/>
                <w:sz w:val="20"/>
                <w:szCs w:val="20"/>
              </w:rPr>
              <w:t>3,316</w:t>
            </w:r>
          </w:p>
        </w:tc>
        <w:tc>
          <w:tcPr>
            <w:tcW w:w="50" w:type="pct"/>
            <w:noWrap/>
            <w:tcMar>
              <w:top w:w="5" w:type="dxa"/>
              <w:left w:w="5" w:type="dxa"/>
              <w:bottom w:w="5" w:type="dxa"/>
              <w:right w:w="5" w:type="dxa"/>
            </w:tcMar>
            <w:vAlign w:val="bottom"/>
            <w:hideMark/>
          </w:tcPr>
          <w:p w14:paraId="051A144D" w14:textId="77777777" w:rsidR="00C820B8" w:rsidRPr="0064652A" w:rsidRDefault="008D7FC6">
            <w:pPr>
              <w:rPr>
                <w:color w:val="000000"/>
                <w:sz w:val="20"/>
                <w:szCs w:val="20"/>
              </w:rPr>
            </w:pPr>
            <w:r w:rsidRPr="0064652A">
              <w:rPr>
                <w:color w:val="000000"/>
                <w:sz w:val="20"/>
                <w:szCs w:val="20"/>
              </w:rPr>
              <w:t> </w:t>
            </w:r>
          </w:p>
        </w:tc>
      </w:tr>
      <w:tr w:rsidR="00C820B8" w:rsidRPr="0064652A" w14:paraId="5F80AF07" w14:textId="77777777">
        <w:tc>
          <w:tcPr>
            <w:tcW w:w="0" w:type="auto"/>
            <w:tcMar>
              <w:top w:w="5" w:type="dxa"/>
              <w:left w:w="5" w:type="dxa"/>
              <w:bottom w:w="5" w:type="dxa"/>
              <w:right w:w="5" w:type="dxa"/>
            </w:tcMar>
            <w:vAlign w:val="bottom"/>
            <w:hideMark/>
          </w:tcPr>
          <w:p w14:paraId="37CB0662" w14:textId="77777777" w:rsidR="00C820B8" w:rsidRPr="0064652A" w:rsidRDefault="008D7FC6">
            <w:pPr>
              <w:ind w:left="360"/>
              <w:rPr>
                <w:color w:val="000000"/>
                <w:sz w:val="20"/>
                <w:szCs w:val="20"/>
              </w:rPr>
            </w:pPr>
            <w:r w:rsidRPr="0064652A">
              <w:rPr>
                <w:color w:val="000000"/>
                <w:sz w:val="20"/>
                <w:szCs w:val="20"/>
              </w:rPr>
              <w:t>Deferred revenue</w:t>
            </w:r>
          </w:p>
        </w:tc>
        <w:tc>
          <w:tcPr>
            <w:tcW w:w="50" w:type="pct"/>
            <w:tcMar>
              <w:top w:w="5" w:type="dxa"/>
              <w:left w:w="5" w:type="dxa"/>
              <w:bottom w:w="5" w:type="dxa"/>
              <w:right w:w="5" w:type="dxa"/>
            </w:tcMar>
            <w:vAlign w:val="bottom"/>
            <w:hideMark/>
          </w:tcPr>
          <w:p w14:paraId="02C0BECA"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763EF0D"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FD68AE3" w14:textId="77777777" w:rsidR="00C820B8" w:rsidRPr="0064652A" w:rsidRDefault="008D7FC6">
            <w:pPr>
              <w:jc w:val="right"/>
              <w:rPr>
                <w:color w:val="000000"/>
                <w:sz w:val="20"/>
                <w:szCs w:val="20"/>
              </w:rPr>
            </w:pPr>
            <w:r w:rsidRPr="0064652A">
              <w:rPr>
                <w:color w:val="000000"/>
                <w:sz w:val="20"/>
                <w:szCs w:val="20"/>
              </w:rPr>
              <w:t>212</w:t>
            </w:r>
          </w:p>
        </w:tc>
        <w:tc>
          <w:tcPr>
            <w:tcW w:w="50" w:type="pct"/>
            <w:noWrap/>
            <w:tcMar>
              <w:top w:w="5" w:type="dxa"/>
              <w:left w:w="5" w:type="dxa"/>
              <w:bottom w:w="20" w:type="dxa"/>
              <w:right w:w="5" w:type="dxa"/>
            </w:tcMar>
            <w:vAlign w:val="bottom"/>
            <w:hideMark/>
          </w:tcPr>
          <w:p w14:paraId="349AE3A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51D7369"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5E15DE2"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1DB7FAA" w14:textId="77777777" w:rsidR="00C820B8" w:rsidRPr="0064652A" w:rsidRDefault="008D7FC6">
            <w:pPr>
              <w:jc w:val="right"/>
              <w:rPr>
                <w:color w:val="000000"/>
                <w:sz w:val="20"/>
                <w:szCs w:val="20"/>
              </w:rPr>
            </w:pPr>
            <w:r w:rsidRPr="0064652A">
              <w:rPr>
                <w:color w:val="000000"/>
                <w:sz w:val="20"/>
                <w:szCs w:val="20"/>
              </w:rPr>
              <w:t>149</w:t>
            </w:r>
          </w:p>
        </w:tc>
        <w:tc>
          <w:tcPr>
            <w:tcW w:w="50" w:type="pct"/>
            <w:noWrap/>
            <w:tcMar>
              <w:top w:w="5" w:type="dxa"/>
              <w:left w:w="5" w:type="dxa"/>
              <w:bottom w:w="20" w:type="dxa"/>
              <w:right w:w="5" w:type="dxa"/>
            </w:tcMar>
            <w:vAlign w:val="bottom"/>
            <w:hideMark/>
          </w:tcPr>
          <w:p w14:paraId="0CBD916D" w14:textId="77777777" w:rsidR="00C820B8" w:rsidRPr="0064652A" w:rsidRDefault="008D7FC6">
            <w:pPr>
              <w:rPr>
                <w:color w:val="000000"/>
                <w:sz w:val="20"/>
                <w:szCs w:val="20"/>
              </w:rPr>
            </w:pPr>
            <w:r w:rsidRPr="0064652A">
              <w:rPr>
                <w:color w:val="000000"/>
                <w:sz w:val="20"/>
                <w:szCs w:val="20"/>
              </w:rPr>
              <w:t> </w:t>
            </w:r>
          </w:p>
        </w:tc>
      </w:tr>
      <w:tr w:rsidR="00C820B8" w:rsidRPr="0064652A" w14:paraId="52C121AA" w14:textId="77777777">
        <w:tc>
          <w:tcPr>
            <w:tcW w:w="0" w:type="auto"/>
            <w:tcMar>
              <w:top w:w="5" w:type="dxa"/>
              <w:left w:w="5" w:type="dxa"/>
              <w:bottom w:w="5" w:type="dxa"/>
              <w:right w:w="5" w:type="dxa"/>
            </w:tcMar>
            <w:vAlign w:val="bottom"/>
            <w:hideMark/>
          </w:tcPr>
          <w:p w14:paraId="66C794BB" w14:textId="77777777" w:rsidR="00C820B8" w:rsidRPr="0064652A" w:rsidRDefault="008D7FC6">
            <w:pPr>
              <w:ind w:left="720"/>
              <w:rPr>
                <w:color w:val="000000"/>
                <w:sz w:val="20"/>
                <w:szCs w:val="20"/>
              </w:rPr>
            </w:pPr>
            <w:r w:rsidRPr="0064652A">
              <w:rPr>
                <w:color w:val="000000"/>
                <w:sz w:val="20"/>
                <w:szCs w:val="20"/>
              </w:rPr>
              <w:t>Total Current Liabilities</w:t>
            </w:r>
          </w:p>
        </w:tc>
        <w:tc>
          <w:tcPr>
            <w:tcW w:w="50" w:type="pct"/>
            <w:tcMar>
              <w:top w:w="5" w:type="dxa"/>
              <w:left w:w="5" w:type="dxa"/>
              <w:bottom w:w="5" w:type="dxa"/>
              <w:right w:w="5" w:type="dxa"/>
            </w:tcMar>
            <w:vAlign w:val="bottom"/>
            <w:hideMark/>
          </w:tcPr>
          <w:p w14:paraId="11A1A71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1932EEA"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67B8487" w14:textId="77777777" w:rsidR="00C820B8" w:rsidRPr="0064652A" w:rsidRDefault="008D7FC6">
            <w:pPr>
              <w:jc w:val="right"/>
              <w:rPr>
                <w:color w:val="000000"/>
                <w:sz w:val="20"/>
                <w:szCs w:val="20"/>
              </w:rPr>
            </w:pPr>
            <w:r w:rsidRPr="0064652A">
              <w:rPr>
                <w:color w:val="000000"/>
                <w:sz w:val="20"/>
                <w:szCs w:val="20"/>
              </w:rPr>
              <w:t>2,238</w:t>
            </w:r>
          </w:p>
        </w:tc>
        <w:tc>
          <w:tcPr>
            <w:tcW w:w="50" w:type="pct"/>
            <w:noWrap/>
            <w:tcMar>
              <w:top w:w="5" w:type="dxa"/>
              <w:left w:w="5" w:type="dxa"/>
              <w:bottom w:w="5" w:type="dxa"/>
              <w:right w:w="5" w:type="dxa"/>
            </w:tcMar>
            <w:vAlign w:val="bottom"/>
            <w:hideMark/>
          </w:tcPr>
          <w:p w14:paraId="4B97E76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D94BD1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E26895F"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770EAEF" w14:textId="77777777" w:rsidR="00C820B8" w:rsidRPr="0064652A" w:rsidRDefault="008D7FC6">
            <w:pPr>
              <w:jc w:val="right"/>
              <w:rPr>
                <w:color w:val="000000"/>
                <w:sz w:val="20"/>
                <w:szCs w:val="20"/>
              </w:rPr>
            </w:pPr>
            <w:r w:rsidRPr="0064652A">
              <w:rPr>
                <w:color w:val="000000"/>
                <w:sz w:val="20"/>
                <w:szCs w:val="20"/>
              </w:rPr>
              <w:t>4,648</w:t>
            </w:r>
          </w:p>
        </w:tc>
        <w:tc>
          <w:tcPr>
            <w:tcW w:w="50" w:type="pct"/>
            <w:noWrap/>
            <w:tcMar>
              <w:top w:w="5" w:type="dxa"/>
              <w:left w:w="5" w:type="dxa"/>
              <w:bottom w:w="5" w:type="dxa"/>
              <w:right w:w="5" w:type="dxa"/>
            </w:tcMar>
            <w:vAlign w:val="bottom"/>
            <w:hideMark/>
          </w:tcPr>
          <w:p w14:paraId="21F1C28B" w14:textId="77777777" w:rsidR="00C820B8" w:rsidRPr="0064652A" w:rsidRDefault="008D7FC6">
            <w:pPr>
              <w:rPr>
                <w:color w:val="000000"/>
                <w:sz w:val="20"/>
                <w:szCs w:val="20"/>
              </w:rPr>
            </w:pPr>
            <w:r w:rsidRPr="0064652A">
              <w:rPr>
                <w:color w:val="000000"/>
                <w:sz w:val="20"/>
                <w:szCs w:val="20"/>
              </w:rPr>
              <w:t> </w:t>
            </w:r>
          </w:p>
        </w:tc>
      </w:tr>
      <w:tr w:rsidR="00C820B8" w:rsidRPr="0064652A" w14:paraId="04290C75" w14:textId="77777777">
        <w:tc>
          <w:tcPr>
            <w:tcW w:w="0" w:type="auto"/>
            <w:tcMar>
              <w:top w:w="5" w:type="dxa"/>
              <w:left w:w="5" w:type="dxa"/>
              <w:bottom w:w="5" w:type="dxa"/>
              <w:right w:w="5" w:type="dxa"/>
            </w:tcMar>
            <w:vAlign w:val="bottom"/>
            <w:hideMark/>
          </w:tcPr>
          <w:p w14:paraId="5635686C" w14:textId="77777777" w:rsidR="00C820B8" w:rsidRPr="0064652A" w:rsidRDefault="008D7FC6">
            <w:pPr>
              <w:rPr>
                <w:color w:val="000000"/>
                <w:sz w:val="20"/>
                <w:szCs w:val="20"/>
              </w:rPr>
            </w:pPr>
            <w:r w:rsidRPr="0064652A">
              <w:rPr>
                <w:color w:val="000000"/>
                <w:sz w:val="20"/>
                <w:szCs w:val="20"/>
              </w:rPr>
              <w:t>Non-Current Liabilities:</w:t>
            </w:r>
          </w:p>
        </w:tc>
        <w:tc>
          <w:tcPr>
            <w:tcW w:w="0" w:type="auto"/>
            <w:tcMar>
              <w:top w:w="5" w:type="dxa"/>
              <w:left w:w="5" w:type="dxa"/>
              <w:bottom w:w="5" w:type="dxa"/>
              <w:right w:w="5" w:type="dxa"/>
            </w:tcMar>
            <w:vAlign w:val="bottom"/>
            <w:hideMark/>
          </w:tcPr>
          <w:p w14:paraId="59F3E62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CD0533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F15F71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8B4321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3F2CAA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454BC1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1C06EE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E6BAF17" w14:textId="77777777" w:rsidR="00C820B8" w:rsidRPr="0064652A" w:rsidRDefault="008D7FC6">
            <w:pPr>
              <w:rPr>
                <w:color w:val="000000"/>
                <w:sz w:val="20"/>
                <w:szCs w:val="20"/>
              </w:rPr>
            </w:pPr>
            <w:r w:rsidRPr="0064652A">
              <w:rPr>
                <w:color w:val="000000"/>
                <w:sz w:val="20"/>
                <w:szCs w:val="20"/>
              </w:rPr>
              <w:t> </w:t>
            </w:r>
          </w:p>
        </w:tc>
      </w:tr>
      <w:tr w:rsidR="00C820B8" w:rsidRPr="0064652A" w14:paraId="40563480" w14:textId="77777777">
        <w:tc>
          <w:tcPr>
            <w:tcW w:w="0" w:type="auto"/>
            <w:tcMar>
              <w:top w:w="5" w:type="dxa"/>
              <w:left w:w="5" w:type="dxa"/>
              <w:bottom w:w="5" w:type="dxa"/>
              <w:right w:w="5" w:type="dxa"/>
            </w:tcMar>
            <w:vAlign w:val="bottom"/>
            <w:hideMark/>
          </w:tcPr>
          <w:p w14:paraId="35CF84CD" w14:textId="77777777" w:rsidR="00C820B8" w:rsidRPr="0064652A" w:rsidRDefault="008D7FC6">
            <w:pPr>
              <w:ind w:left="360"/>
              <w:rPr>
                <w:color w:val="000000"/>
                <w:sz w:val="20"/>
                <w:szCs w:val="20"/>
              </w:rPr>
            </w:pPr>
            <w:r w:rsidRPr="0064652A">
              <w:rPr>
                <w:color w:val="000000"/>
                <w:sz w:val="20"/>
                <w:szCs w:val="20"/>
              </w:rPr>
              <w:t>Long-term operating lease liability</w:t>
            </w:r>
          </w:p>
        </w:tc>
        <w:tc>
          <w:tcPr>
            <w:tcW w:w="50" w:type="pct"/>
            <w:tcMar>
              <w:top w:w="5" w:type="dxa"/>
              <w:left w:w="5" w:type="dxa"/>
              <w:bottom w:w="5" w:type="dxa"/>
              <w:right w:w="5" w:type="dxa"/>
            </w:tcMar>
            <w:vAlign w:val="bottom"/>
            <w:hideMark/>
          </w:tcPr>
          <w:p w14:paraId="75266AF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DE24BF0"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4D8817AB" w14:textId="77777777" w:rsidR="00C820B8" w:rsidRPr="0064652A" w:rsidRDefault="008D7FC6">
            <w:pPr>
              <w:jc w:val="right"/>
              <w:rPr>
                <w:color w:val="000000"/>
                <w:sz w:val="20"/>
                <w:szCs w:val="20"/>
              </w:rPr>
            </w:pPr>
            <w:r w:rsidRPr="0064652A">
              <w:rPr>
                <w:color w:val="000000"/>
                <w:sz w:val="20"/>
                <w:szCs w:val="20"/>
              </w:rPr>
              <w:t>208</w:t>
            </w:r>
          </w:p>
        </w:tc>
        <w:tc>
          <w:tcPr>
            <w:tcW w:w="50" w:type="pct"/>
            <w:noWrap/>
            <w:tcMar>
              <w:top w:w="5" w:type="dxa"/>
              <w:left w:w="5" w:type="dxa"/>
              <w:bottom w:w="5" w:type="dxa"/>
              <w:right w:w="5" w:type="dxa"/>
            </w:tcMar>
            <w:vAlign w:val="bottom"/>
            <w:hideMark/>
          </w:tcPr>
          <w:p w14:paraId="7900E10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1C57E3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087F880"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7B54E4EB" w14:textId="77777777" w:rsidR="00C820B8" w:rsidRPr="0064652A" w:rsidRDefault="008D7FC6">
            <w:pPr>
              <w:jc w:val="right"/>
              <w:rPr>
                <w:color w:val="000000"/>
                <w:sz w:val="20"/>
                <w:szCs w:val="20"/>
              </w:rPr>
            </w:pPr>
            <w:r w:rsidRPr="0064652A">
              <w:rPr>
                <w:color w:val="000000"/>
                <w:sz w:val="20"/>
                <w:szCs w:val="20"/>
              </w:rPr>
              <w:t>62</w:t>
            </w:r>
          </w:p>
        </w:tc>
        <w:tc>
          <w:tcPr>
            <w:tcW w:w="50" w:type="pct"/>
            <w:noWrap/>
            <w:tcMar>
              <w:top w:w="5" w:type="dxa"/>
              <w:left w:w="5" w:type="dxa"/>
              <w:bottom w:w="5" w:type="dxa"/>
              <w:right w:w="5" w:type="dxa"/>
            </w:tcMar>
            <w:vAlign w:val="bottom"/>
            <w:hideMark/>
          </w:tcPr>
          <w:p w14:paraId="02DF01D7" w14:textId="77777777" w:rsidR="00C820B8" w:rsidRPr="0064652A" w:rsidRDefault="008D7FC6">
            <w:pPr>
              <w:rPr>
                <w:color w:val="000000"/>
                <w:sz w:val="20"/>
                <w:szCs w:val="20"/>
              </w:rPr>
            </w:pPr>
            <w:r w:rsidRPr="0064652A">
              <w:rPr>
                <w:color w:val="000000"/>
                <w:sz w:val="20"/>
                <w:szCs w:val="20"/>
              </w:rPr>
              <w:t> </w:t>
            </w:r>
          </w:p>
        </w:tc>
      </w:tr>
      <w:tr w:rsidR="00C820B8" w:rsidRPr="0064652A" w14:paraId="2A4CFC5D" w14:textId="77777777">
        <w:tc>
          <w:tcPr>
            <w:tcW w:w="0" w:type="auto"/>
            <w:tcMar>
              <w:top w:w="5" w:type="dxa"/>
              <w:left w:w="5" w:type="dxa"/>
              <w:bottom w:w="5" w:type="dxa"/>
              <w:right w:w="5" w:type="dxa"/>
            </w:tcMar>
            <w:vAlign w:val="bottom"/>
            <w:hideMark/>
          </w:tcPr>
          <w:p w14:paraId="4628F076" w14:textId="77777777" w:rsidR="00C820B8" w:rsidRPr="0064652A" w:rsidRDefault="008D7FC6">
            <w:pPr>
              <w:ind w:left="360"/>
              <w:rPr>
                <w:color w:val="000000"/>
                <w:sz w:val="20"/>
                <w:szCs w:val="20"/>
              </w:rPr>
            </w:pPr>
            <w:r w:rsidRPr="0064652A">
              <w:rPr>
                <w:color w:val="000000"/>
                <w:sz w:val="20"/>
                <w:szCs w:val="20"/>
              </w:rPr>
              <w:t>Long-term finance lease liability</w:t>
            </w:r>
          </w:p>
        </w:tc>
        <w:tc>
          <w:tcPr>
            <w:tcW w:w="50" w:type="pct"/>
            <w:tcMar>
              <w:top w:w="5" w:type="dxa"/>
              <w:left w:w="5" w:type="dxa"/>
              <w:bottom w:w="5" w:type="dxa"/>
              <w:right w:w="5" w:type="dxa"/>
            </w:tcMar>
            <w:vAlign w:val="bottom"/>
            <w:hideMark/>
          </w:tcPr>
          <w:p w14:paraId="2B9DC72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EEE9077"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12908E4"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1E46B64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9CB4BB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7235D04"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2B43BE2"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276A0BA2" w14:textId="77777777" w:rsidR="00C820B8" w:rsidRPr="0064652A" w:rsidRDefault="008D7FC6">
            <w:pPr>
              <w:rPr>
                <w:color w:val="000000"/>
                <w:sz w:val="20"/>
                <w:szCs w:val="20"/>
              </w:rPr>
            </w:pPr>
            <w:r w:rsidRPr="0064652A">
              <w:rPr>
                <w:color w:val="000000"/>
                <w:sz w:val="20"/>
                <w:szCs w:val="20"/>
              </w:rPr>
              <w:t> </w:t>
            </w:r>
          </w:p>
        </w:tc>
      </w:tr>
      <w:tr w:rsidR="00C820B8" w:rsidRPr="0064652A" w14:paraId="13E3CF2C" w14:textId="77777777">
        <w:tc>
          <w:tcPr>
            <w:tcW w:w="0" w:type="auto"/>
            <w:tcMar>
              <w:top w:w="5" w:type="dxa"/>
              <w:left w:w="5" w:type="dxa"/>
              <w:bottom w:w="5" w:type="dxa"/>
              <w:right w:w="5" w:type="dxa"/>
            </w:tcMar>
            <w:vAlign w:val="bottom"/>
            <w:hideMark/>
          </w:tcPr>
          <w:p w14:paraId="667A47F3" w14:textId="77777777" w:rsidR="00C820B8" w:rsidRPr="0064652A" w:rsidRDefault="008D7FC6">
            <w:pPr>
              <w:ind w:left="360"/>
              <w:rPr>
                <w:color w:val="000000"/>
                <w:sz w:val="20"/>
                <w:szCs w:val="20"/>
              </w:rPr>
            </w:pPr>
            <w:r w:rsidRPr="0064652A">
              <w:rPr>
                <w:color w:val="000000"/>
                <w:sz w:val="20"/>
                <w:szCs w:val="20"/>
              </w:rPr>
              <w:t>Income tax payable</w:t>
            </w:r>
          </w:p>
        </w:tc>
        <w:tc>
          <w:tcPr>
            <w:tcW w:w="50" w:type="pct"/>
            <w:tcMar>
              <w:top w:w="5" w:type="dxa"/>
              <w:left w:w="5" w:type="dxa"/>
              <w:bottom w:w="5" w:type="dxa"/>
              <w:right w:w="5" w:type="dxa"/>
            </w:tcMar>
            <w:vAlign w:val="bottom"/>
            <w:hideMark/>
          </w:tcPr>
          <w:p w14:paraId="7C271465"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2466A6B"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26D4AEF" w14:textId="77777777" w:rsidR="00C820B8" w:rsidRPr="0064652A" w:rsidRDefault="008D7FC6">
            <w:pPr>
              <w:jc w:val="right"/>
              <w:rPr>
                <w:color w:val="000000"/>
                <w:sz w:val="20"/>
                <w:szCs w:val="20"/>
              </w:rPr>
            </w:pPr>
            <w:r w:rsidRPr="0064652A">
              <w:rPr>
                <w:color w:val="000000"/>
                <w:sz w:val="20"/>
                <w:szCs w:val="20"/>
              </w:rPr>
              <w:t>668</w:t>
            </w:r>
          </w:p>
        </w:tc>
        <w:tc>
          <w:tcPr>
            <w:tcW w:w="50" w:type="pct"/>
            <w:noWrap/>
            <w:tcMar>
              <w:top w:w="5" w:type="dxa"/>
              <w:left w:w="5" w:type="dxa"/>
              <w:bottom w:w="20" w:type="dxa"/>
              <w:right w:w="5" w:type="dxa"/>
            </w:tcMar>
            <w:vAlign w:val="bottom"/>
            <w:hideMark/>
          </w:tcPr>
          <w:p w14:paraId="15E0984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43ECA63"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7E715B3"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73856C8" w14:textId="77777777" w:rsidR="00C820B8" w:rsidRPr="0064652A" w:rsidRDefault="008D7FC6">
            <w:pPr>
              <w:jc w:val="right"/>
              <w:rPr>
                <w:color w:val="000000"/>
                <w:sz w:val="20"/>
                <w:szCs w:val="20"/>
              </w:rPr>
            </w:pPr>
            <w:r w:rsidRPr="0064652A">
              <w:rPr>
                <w:color w:val="000000"/>
                <w:sz w:val="20"/>
                <w:szCs w:val="20"/>
              </w:rPr>
              <w:t>1,202</w:t>
            </w:r>
          </w:p>
        </w:tc>
        <w:tc>
          <w:tcPr>
            <w:tcW w:w="50" w:type="pct"/>
            <w:noWrap/>
            <w:tcMar>
              <w:top w:w="5" w:type="dxa"/>
              <w:left w:w="5" w:type="dxa"/>
              <w:bottom w:w="20" w:type="dxa"/>
              <w:right w:w="5" w:type="dxa"/>
            </w:tcMar>
            <w:vAlign w:val="bottom"/>
            <w:hideMark/>
          </w:tcPr>
          <w:p w14:paraId="27661FEF" w14:textId="77777777" w:rsidR="00C820B8" w:rsidRPr="0064652A" w:rsidRDefault="008D7FC6">
            <w:pPr>
              <w:rPr>
                <w:color w:val="000000"/>
                <w:sz w:val="20"/>
                <w:szCs w:val="20"/>
              </w:rPr>
            </w:pPr>
            <w:r w:rsidRPr="0064652A">
              <w:rPr>
                <w:color w:val="000000"/>
                <w:sz w:val="20"/>
                <w:szCs w:val="20"/>
              </w:rPr>
              <w:t> </w:t>
            </w:r>
          </w:p>
        </w:tc>
      </w:tr>
      <w:tr w:rsidR="00C820B8" w:rsidRPr="0064652A" w14:paraId="2489D051" w14:textId="77777777">
        <w:tc>
          <w:tcPr>
            <w:tcW w:w="0" w:type="auto"/>
            <w:tcMar>
              <w:top w:w="5" w:type="dxa"/>
              <w:left w:w="5" w:type="dxa"/>
              <w:bottom w:w="5" w:type="dxa"/>
              <w:right w:w="5" w:type="dxa"/>
            </w:tcMar>
            <w:vAlign w:val="bottom"/>
            <w:hideMark/>
          </w:tcPr>
          <w:p w14:paraId="258F7911" w14:textId="77777777" w:rsidR="00C820B8" w:rsidRPr="0064652A" w:rsidRDefault="008D7FC6">
            <w:pPr>
              <w:ind w:left="720"/>
              <w:rPr>
                <w:color w:val="000000"/>
                <w:sz w:val="20"/>
                <w:szCs w:val="20"/>
              </w:rPr>
            </w:pPr>
            <w:r w:rsidRPr="0064652A">
              <w:rPr>
                <w:color w:val="000000"/>
                <w:sz w:val="20"/>
                <w:szCs w:val="20"/>
              </w:rPr>
              <w:t>Total Non-Current Liabilities</w:t>
            </w:r>
          </w:p>
        </w:tc>
        <w:tc>
          <w:tcPr>
            <w:tcW w:w="50" w:type="pct"/>
            <w:tcMar>
              <w:top w:w="5" w:type="dxa"/>
              <w:left w:w="5" w:type="dxa"/>
              <w:bottom w:w="5" w:type="dxa"/>
              <w:right w:w="5" w:type="dxa"/>
            </w:tcMar>
            <w:vAlign w:val="bottom"/>
            <w:hideMark/>
          </w:tcPr>
          <w:p w14:paraId="0C244FDB"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8182D64"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292554F" w14:textId="77777777" w:rsidR="00C820B8" w:rsidRPr="0064652A" w:rsidRDefault="008D7FC6">
            <w:pPr>
              <w:jc w:val="right"/>
              <w:rPr>
                <w:color w:val="000000"/>
                <w:sz w:val="20"/>
                <w:szCs w:val="20"/>
              </w:rPr>
            </w:pPr>
            <w:r w:rsidRPr="0064652A">
              <w:rPr>
                <w:color w:val="000000"/>
                <w:sz w:val="20"/>
                <w:szCs w:val="20"/>
              </w:rPr>
              <w:t>876</w:t>
            </w:r>
          </w:p>
        </w:tc>
        <w:tc>
          <w:tcPr>
            <w:tcW w:w="50" w:type="pct"/>
            <w:noWrap/>
            <w:tcMar>
              <w:top w:w="5" w:type="dxa"/>
              <w:left w:w="5" w:type="dxa"/>
              <w:bottom w:w="20" w:type="dxa"/>
              <w:right w:w="5" w:type="dxa"/>
            </w:tcMar>
            <w:vAlign w:val="bottom"/>
            <w:hideMark/>
          </w:tcPr>
          <w:p w14:paraId="42DF747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183DEFD"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B0E4DA8"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EC5CCEB" w14:textId="77777777" w:rsidR="00C820B8" w:rsidRPr="0064652A" w:rsidRDefault="008D7FC6">
            <w:pPr>
              <w:jc w:val="right"/>
              <w:rPr>
                <w:color w:val="000000"/>
                <w:sz w:val="20"/>
                <w:szCs w:val="20"/>
              </w:rPr>
            </w:pPr>
            <w:r w:rsidRPr="0064652A">
              <w:rPr>
                <w:color w:val="000000"/>
                <w:sz w:val="20"/>
                <w:szCs w:val="20"/>
              </w:rPr>
              <w:t>1,264</w:t>
            </w:r>
          </w:p>
        </w:tc>
        <w:tc>
          <w:tcPr>
            <w:tcW w:w="50" w:type="pct"/>
            <w:noWrap/>
            <w:tcMar>
              <w:top w:w="5" w:type="dxa"/>
              <w:left w:w="5" w:type="dxa"/>
              <w:bottom w:w="20" w:type="dxa"/>
              <w:right w:w="5" w:type="dxa"/>
            </w:tcMar>
            <w:vAlign w:val="bottom"/>
            <w:hideMark/>
          </w:tcPr>
          <w:p w14:paraId="455337A0" w14:textId="77777777" w:rsidR="00C820B8" w:rsidRPr="0064652A" w:rsidRDefault="008D7FC6">
            <w:pPr>
              <w:rPr>
                <w:color w:val="000000"/>
                <w:sz w:val="20"/>
                <w:szCs w:val="20"/>
              </w:rPr>
            </w:pPr>
            <w:r w:rsidRPr="0064652A">
              <w:rPr>
                <w:color w:val="000000"/>
                <w:sz w:val="20"/>
                <w:szCs w:val="20"/>
              </w:rPr>
              <w:t> </w:t>
            </w:r>
          </w:p>
        </w:tc>
      </w:tr>
      <w:tr w:rsidR="00C820B8" w:rsidRPr="0064652A" w14:paraId="5DE1E541" w14:textId="77777777">
        <w:tc>
          <w:tcPr>
            <w:tcW w:w="0" w:type="auto"/>
            <w:tcMar>
              <w:top w:w="5" w:type="dxa"/>
              <w:left w:w="5" w:type="dxa"/>
              <w:bottom w:w="5" w:type="dxa"/>
              <w:right w:w="5" w:type="dxa"/>
            </w:tcMar>
            <w:vAlign w:val="bottom"/>
            <w:hideMark/>
          </w:tcPr>
          <w:p w14:paraId="56096913" w14:textId="77777777" w:rsidR="00C820B8" w:rsidRPr="0064652A" w:rsidRDefault="008D7FC6">
            <w:pPr>
              <w:ind w:left="720"/>
              <w:rPr>
                <w:color w:val="000000"/>
                <w:sz w:val="20"/>
                <w:szCs w:val="20"/>
              </w:rPr>
            </w:pPr>
            <w:r w:rsidRPr="0064652A">
              <w:rPr>
                <w:color w:val="000000"/>
                <w:sz w:val="20"/>
                <w:szCs w:val="20"/>
              </w:rPr>
              <w:t>Total Liabilities</w:t>
            </w:r>
          </w:p>
        </w:tc>
        <w:tc>
          <w:tcPr>
            <w:tcW w:w="50" w:type="pct"/>
            <w:tcMar>
              <w:top w:w="5" w:type="dxa"/>
              <w:left w:w="5" w:type="dxa"/>
              <w:bottom w:w="5" w:type="dxa"/>
              <w:right w:w="5" w:type="dxa"/>
            </w:tcMar>
            <w:vAlign w:val="bottom"/>
            <w:hideMark/>
          </w:tcPr>
          <w:p w14:paraId="4210D9D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B81E214"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60CACBFE" w14:textId="77777777" w:rsidR="00C820B8" w:rsidRPr="0064652A" w:rsidRDefault="008D7FC6">
            <w:pPr>
              <w:jc w:val="right"/>
              <w:rPr>
                <w:color w:val="000000"/>
                <w:sz w:val="20"/>
                <w:szCs w:val="20"/>
              </w:rPr>
            </w:pPr>
            <w:r w:rsidRPr="0064652A">
              <w:rPr>
                <w:color w:val="000000"/>
                <w:sz w:val="20"/>
                <w:szCs w:val="20"/>
              </w:rPr>
              <w:t>3,114</w:t>
            </w:r>
          </w:p>
        </w:tc>
        <w:tc>
          <w:tcPr>
            <w:tcW w:w="50" w:type="pct"/>
            <w:noWrap/>
            <w:tcMar>
              <w:top w:w="5" w:type="dxa"/>
              <w:left w:w="5" w:type="dxa"/>
              <w:bottom w:w="5" w:type="dxa"/>
              <w:right w:w="5" w:type="dxa"/>
            </w:tcMar>
            <w:vAlign w:val="bottom"/>
            <w:hideMark/>
          </w:tcPr>
          <w:p w14:paraId="5F00A7F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739712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1B68949"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42BD7E20" w14:textId="77777777" w:rsidR="00C820B8" w:rsidRPr="0064652A" w:rsidRDefault="008D7FC6">
            <w:pPr>
              <w:jc w:val="right"/>
              <w:rPr>
                <w:color w:val="000000"/>
                <w:sz w:val="20"/>
                <w:szCs w:val="20"/>
              </w:rPr>
            </w:pPr>
            <w:r w:rsidRPr="0064652A">
              <w:rPr>
                <w:color w:val="000000"/>
                <w:sz w:val="20"/>
                <w:szCs w:val="20"/>
              </w:rPr>
              <w:t>5,912</w:t>
            </w:r>
          </w:p>
        </w:tc>
        <w:tc>
          <w:tcPr>
            <w:tcW w:w="50" w:type="pct"/>
            <w:noWrap/>
            <w:tcMar>
              <w:top w:w="5" w:type="dxa"/>
              <w:left w:w="5" w:type="dxa"/>
              <w:bottom w:w="5" w:type="dxa"/>
              <w:right w:w="5" w:type="dxa"/>
            </w:tcMar>
            <w:vAlign w:val="bottom"/>
            <w:hideMark/>
          </w:tcPr>
          <w:p w14:paraId="7A9C6BD6" w14:textId="77777777" w:rsidR="00C820B8" w:rsidRPr="0064652A" w:rsidRDefault="008D7FC6">
            <w:pPr>
              <w:rPr>
                <w:color w:val="000000"/>
                <w:sz w:val="20"/>
                <w:szCs w:val="20"/>
              </w:rPr>
            </w:pPr>
            <w:r w:rsidRPr="0064652A">
              <w:rPr>
                <w:color w:val="000000"/>
                <w:sz w:val="20"/>
                <w:szCs w:val="20"/>
              </w:rPr>
              <w:t> </w:t>
            </w:r>
          </w:p>
        </w:tc>
      </w:tr>
      <w:tr w:rsidR="00C820B8" w:rsidRPr="0064652A" w14:paraId="2AE73AFB" w14:textId="77777777">
        <w:tc>
          <w:tcPr>
            <w:tcW w:w="0" w:type="auto"/>
            <w:tcMar>
              <w:top w:w="5" w:type="dxa"/>
              <w:left w:w="5" w:type="dxa"/>
              <w:bottom w:w="5" w:type="dxa"/>
              <w:right w:w="5" w:type="dxa"/>
            </w:tcMar>
            <w:vAlign w:val="bottom"/>
            <w:hideMark/>
          </w:tcPr>
          <w:p w14:paraId="3E24D9D6" w14:textId="77777777" w:rsidR="00C820B8" w:rsidRPr="0064652A" w:rsidRDefault="008D7FC6">
            <w:pPr>
              <w:rPr>
                <w:color w:val="000000"/>
                <w:sz w:val="20"/>
                <w:szCs w:val="20"/>
              </w:rPr>
            </w:pPr>
            <w:r w:rsidRPr="0064652A">
              <w:rPr>
                <w:color w:val="000000"/>
                <w:sz w:val="20"/>
                <w:szCs w:val="20"/>
              </w:rPr>
              <w:t>Shareholders’ Equity:</w:t>
            </w:r>
          </w:p>
        </w:tc>
        <w:tc>
          <w:tcPr>
            <w:tcW w:w="0" w:type="auto"/>
            <w:tcMar>
              <w:top w:w="5" w:type="dxa"/>
              <w:left w:w="5" w:type="dxa"/>
              <w:bottom w:w="5" w:type="dxa"/>
              <w:right w:w="5" w:type="dxa"/>
            </w:tcMar>
            <w:vAlign w:val="bottom"/>
            <w:hideMark/>
          </w:tcPr>
          <w:p w14:paraId="26C5BDD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B0F8A97"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E4474E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345CF0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8235AC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F5DDF47"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F4B8AF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01F46AD" w14:textId="77777777" w:rsidR="00C820B8" w:rsidRPr="0064652A" w:rsidRDefault="008D7FC6">
            <w:pPr>
              <w:rPr>
                <w:color w:val="000000"/>
                <w:sz w:val="20"/>
                <w:szCs w:val="20"/>
              </w:rPr>
            </w:pPr>
            <w:r w:rsidRPr="0064652A">
              <w:rPr>
                <w:color w:val="000000"/>
                <w:sz w:val="20"/>
                <w:szCs w:val="20"/>
              </w:rPr>
              <w:t> </w:t>
            </w:r>
          </w:p>
        </w:tc>
      </w:tr>
      <w:tr w:rsidR="00C820B8" w:rsidRPr="0064652A" w14:paraId="61D42B8A" w14:textId="77777777">
        <w:tc>
          <w:tcPr>
            <w:tcW w:w="0" w:type="auto"/>
            <w:tcMar>
              <w:top w:w="5" w:type="dxa"/>
              <w:left w:w="5" w:type="dxa"/>
              <w:bottom w:w="5" w:type="dxa"/>
              <w:right w:w="5" w:type="dxa"/>
            </w:tcMar>
            <w:vAlign w:val="bottom"/>
            <w:hideMark/>
          </w:tcPr>
          <w:p w14:paraId="03CE8AC0" w14:textId="77777777" w:rsidR="00C820B8" w:rsidRPr="0064652A" w:rsidRDefault="008D7FC6">
            <w:pPr>
              <w:ind w:left="540" w:hanging="180"/>
              <w:rPr>
                <w:color w:val="000000"/>
                <w:sz w:val="20"/>
                <w:szCs w:val="20"/>
              </w:rPr>
            </w:pPr>
            <w:r w:rsidRPr="0064652A">
              <w:rPr>
                <w:color w:val="000000"/>
                <w:sz w:val="20"/>
                <w:szCs w:val="20"/>
              </w:rPr>
              <w:t>Series A Preferred shares — 10,000,000 shares authorized; 3,677 shares issued and outstanding; liquidation preference of $3,677,000</w:t>
            </w:r>
          </w:p>
        </w:tc>
        <w:tc>
          <w:tcPr>
            <w:tcW w:w="50" w:type="pct"/>
            <w:tcMar>
              <w:top w:w="5" w:type="dxa"/>
              <w:left w:w="5" w:type="dxa"/>
              <w:bottom w:w="5" w:type="dxa"/>
              <w:right w:w="5" w:type="dxa"/>
            </w:tcMar>
            <w:vAlign w:val="bottom"/>
            <w:hideMark/>
          </w:tcPr>
          <w:p w14:paraId="25AD99E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FF51413"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480FCD61" w14:textId="77777777" w:rsidR="00C820B8" w:rsidRPr="0064652A" w:rsidRDefault="008D7FC6">
            <w:pPr>
              <w:jc w:val="right"/>
              <w:rPr>
                <w:color w:val="000000"/>
                <w:sz w:val="20"/>
                <w:szCs w:val="20"/>
              </w:rPr>
            </w:pPr>
            <w:r w:rsidRPr="0064652A">
              <w:rPr>
                <w:color w:val="000000"/>
                <w:sz w:val="20"/>
                <w:szCs w:val="20"/>
              </w:rPr>
              <w:t>3,310</w:t>
            </w:r>
          </w:p>
        </w:tc>
        <w:tc>
          <w:tcPr>
            <w:tcW w:w="50" w:type="pct"/>
            <w:noWrap/>
            <w:tcMar>
              <w:top w:w="5" w:type="dxa"/>
              <w:left w:w="5" w:type="dxa"/>
              <w:bottom w:w="5" w:type="dxa"/>
              <w:right w:w="5" w:type="dxa"/>
            </w:tcMar>
            <w:vAlign w:val="bottom"/>
            <w:hideMark/>
          </w:tcPr>
          <w:p w14:paraId="2146F01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9753A6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14E8D62"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D92CE22" w14:textId="77777777" w:rsidR="00C820B8" w:rsidRPr="0064652A" w:rsidRDefault="008D7FC6">
            <w:pPr>
              <w:jc w:val="right"/>
              <w:rPr>
                <w:color w:val="000000"/>
                <w:sz w:val="20"/>
                <w:szCs w:val="20"/>
              </w:rPr>
            </w:pPr>
            <w:r w:rsidRPr="0064652A">
              <w:rPr>
                <w:color w:val="000000"/>
                <w:sz w:val="20"/>
                <w:szCs w:val="20"/>
              </w:rPr>
              <w:t>3,310</w:t>
            </w:r>
          </w:p>
        </w:tc>
        <w:tc>
          <w:tcPr>
            <w:tcW w:w="50" w:type="pct"/>
            <w:noWrap/>
            <w:tcMar>
              <w:top w:w="5" w:type="dxa"/>
              <w:left w:w="5" w:type="dxa"/>
              <w:bottom w:w="5" w:type="dxa"/>
              <w:right w:w="5" w:type="dxa"/>
            </w:tcMar>
            <w:vAlign w:val="bottom"/>
            <w:hideMark/>
          </w:tcPr>
          <w:p w14:paraId="23FAA68D" w14:textId="77777777" w:rsidR="00C820B8" w:rsidRPr="0064652A" w:rsidRDefault="008D7FC6">
            <w:pPr>
              <w:rPr>
                <w:color w:val="000000"/>
                <w:sz w:val="20"/>
                <w:szCs w:val="20"/>
              </w:rPr>
            </w:pPr>
            <w:r w:rsidRPr="0064652A">
              <w:rPr>
                <w:color w:val="000000"/>
                <w:sz w:val="20"/>
                <w:szCs w:val="20"/>
              </w:rPr>
              <w:t> </w:t>
            </w:r>
          </w:p>
        </w:tc>
      </w:tr>
      <w:tr w:rsidR="00C820B8" w:rsidRPr="0064652A" w14:paraId="39183945" w14:textId="77777777">
        <w:tc>
          <w:tcPr>
            <w:tcW w:w="0" w:type="auto"/>
            <w:tcMar>
              <w:top w:w="5" w:type="dxa"/>
              <w:left w:w="5" w:type="dxa"/>
              <w:bottom w:w="5" w:type="dxa"/>
              <w:right w:w="5" w:type="dxa"/>
            </w:tcMar>
            <w:vAlign w:val="bottom"/>
            <w:hideMark/>
          </w:tcPr>
          <w:p w14:paraId="23972F71" w14:textId="77777777" w:rsidR="00C820B8" w:rsidRPr="0064652A" w:rsidRDefault="008D7FC6">
            <w:pPr>
              <w:ind w:left="540" w:hanging="180"/>
              <w:rPr>
                <w:color w:val="000000"/>
                <w:sz w:val="20"/>
                <w:szCs w:val="20"/>
              </w:rPr>
            </w:pPr>
            <w:r w:rsidRPr="0064652A">
              <w:rPr>
                <w:color w:val="000000"/>
                <w:sz w:val="20"/>
                <w:szCs w:val="20"/>
              </w:rPr>
              <w:t>Common shares — $0.01 par value, 75,000,000 shares authorized; 52,965,797 shares issued at December 31, 2023 and March 31, 2023, respectively; 21,042,652 shares outstanding at December 31, 2023 and March 31, 2023, respectively</w:t>
            </w:r>
          </w:p>
        </w:tc>
        <w:tc>
          <w:tcPr>
            <w:tcW w:w="50" w:type="pct"/>
            <w:tcMar>
              <w:top w:w="5" w:type="dxa"/>
              <w:left w:w="5" w:type="dxa"/>
              <w:bottom w:w="5" w:type="dxa"/>
              <w:right w:w="5" w:type="dxa"/>
            </w:tcMar>
            <w:vAlign w:val="bottom"/>
            <w:hideMark/>
          </w:tcPr>
          <w:p w14:paraId="7A03C18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D23B905"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E7DED86" w14:textId="77777777" w:rsidR="00C820B8" w:rsidRPr="0064652A" w:rsidRDefault="008D7FC6">
            <w:pPr>
              <w:jc w:val="right"/>
              <w:rPr>
                <w:color w:val="000000"/>
                <w:sz w:val="20"/>
                <w:szCs w:val="20"/>
              </w:rPr>
            </w:pPr>
            <w:r w:rsidRPr="0064652A">
              <w:rPr>
                <w:color w:val="000000"/>
                <w:sz w:val="20"/>
                <w:szCs w:val="20"/>
              </w:rPr>
              <w:t>529</w:t>
            </w:r>
          </w:p>
        </w:tc>
        <w:tc>
          <w:tcPr>
            <w:tcW w:w="50" w:type="pct"/>
            <w:noWrap/>
            <w:tcMar>
              <w:top w:w="5" w:type="dxa"/>
              <w:left w:w="5" w:type="dxa"/>
              <w:bottom w:w="5" w:type="dxa"/>
              <w:right w:w="5" w:type="dxa"/>
            </w:tcMar>
            <w:vAlign w:val="bottom"/>
            <w:hideMark/>
          </w:tcPr>
          <w:p w14:paraId="200E1F7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8DB219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9A5024F"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7A568A14" w14:textId="77777777" w:rsidR="00C820B8" w:rsidRPr="0064652A" w:rsidRDefault="008D7FC6">
            <w:pPr>
              <w:jc w:val="right"/>
              <w:rPr>
                <w:color w:val="000000"/>
                <w:sz w:val="20"/>
                <w:szCs w:val="20"/>
              </w:rPr>
            </w:pPr>
            <w:r w:rsidRPr="0064652A">
              <w:rPr>
                <w:color w:val="000000"/>
                <w:sz w:val="20"/>
                <w:szCs w:val="20"/>
              </w:rPr>
              <w:t>529</w:t>
            </w:r>
          </w:p>
        </w:tc>
        <w:tc>
          <w:tcPr>
            <w:tcW w:w="50" w:type="pct"/>
            <w:noWrap/>
            <w:tcMar>
              <w:top w:w="5" w:type="dxa"/>
              <w:left w:w="5" w:type="dxa"/>
              <w:bottom w:w="5" w:type="dxa"/>
              <w:right w:w="5" w:type="dxa"/>
            </w:tcMar>
            <w:vAlign w:val="bottom"/>
            <w:hideMark/>
          </w:tcPr>
          <w:p w14:paraId="64FC2B5B" w14:textId="77777777" w:rsidR="00C820B8" w:rsidRPr="0064652A" w:rsidRDefault="008D7FC6">
            <w:pPr>
              <w:rPr>
                <w:color w:val="000000"/>
                <w:sz w:val="20"/>
                <w:szCs w:val="20"/>
              </w:rPr>
            </w:pPr>
            <w:r w:rsidRPr="0064652A">
              <w:rPr>
                <w:color w:val="000000"/>
                <w:sz w:val="20"/>
                <w:szCs w:val="20"/>
              </w:rPr>
              <w:t> </w:t>
            </w:r>
          </w:p>
        </w:tc>
      </w:tr>
      <w:tr w:rsidR="00C820B8" w:rsidRPr="0064652A" w14:paraId="76420580" w14:textId="77777777">
        <w:tc>
          <w:tcPr>
            <w:tcW w:w="0" w:type="auto"/>
            <w:tcMar>
              <w:top w:w="5" w:type="dxa"/>
              <w:left w:w="5" w:type="dxa"/>
              <w:bottom w:w="5" w:type="dxa"/>
              <w:right w:w="5" w:type="dxa"/>
            </w:tcMar>
            <w:vAlign w:val="bottom"/>
            <w:hideMark/>
          </w:tcPr>
          <w:p w14:paraId="7159E587" w14:textId="77777777" w:rsidR="00C820B8" w:rsidRPr="0064652A" w:rsidRDefault="008D7FC6">
            <w:pPr>
              <w:ind w:left="360"/>
              <w:rPr>
                <w:color w:val="000000"/>
                <w:sz w:val="20"/>
                <w:szCs w:val="20"/>
              </w:rPr>
            </w:pPr>
            <w:r w:rsidRPr="0064652A">
              <w:rPr>
                <w:color w:val="000000"/>
                <w:sz w:val="20"/>
                <w:szCs w:val="20"/>
              </w:rPr>
              <w:t>Additional paid-in capital</w:t>
            </w:r>
          </w:p>
        </w:tc>
        <w:tc>
          <w:tcPr>
            <w:tcW w:w="50" w:type="pct"/>
            <w:tcMar>
              <w:top w:w="5" w:type="dxa"/>
              <w:left w:w="5" w:type="dxa"/>
              <w:bottom w:w="5" w:type="dxa"/>
              <w:right w:w="5" w:type="dxa"/>
            </w:tcMar>
            <w:vAlign w:val="bottom"/>
            <w:hideMark/>
          </w:tcPr>
          <w:p w14:paraId="20C7679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CDE46A7"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64947FE" w14:textId="77777777" w:rsidR="00C820B8" w:rsidRPr="0064652A" w:rsidRDefault="008D7FC6">
            <w:pPr>
              <w:jc w:val="right"/>
              <w:rPr>
                <w:color w:val="000000"/>
                <w:sz w:val="20"/>
                <w:szCs w:val="20"/>
              </w:rPr>
            </w:pPr>
            <w:r w:rsidRPr="0064652A">
              <w:rPr>
                <w:color w:val="000000"/>
                <w:sz w:val="20"/>
                <w:szCs w:val="20"/>
              </w:rPr>
              <w:t>79,792</w:t>
            </w:r>
          </w:p>
        </w:tc>
        <w:tc>
          <w:tcPr>
            <w:tcW w:w="50" w:type="pct"/>
            <w:noWrap/>
            <w:tcMar>
              <w:top w:w="5" w:type="dxa"/>
              <w:left w:w="5" w:type="dxa"/>
              <w:bottom w:w="5" w:type="dxa"/>
              <w:right w:w="5" w:type="dxa"/>
            </w:tcMar>
            <w:vAlign w:val="bottom"/>
            <w:hideMark/>
          </w:tcPr>
          <w:p w14:paraId="145B8E2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7692E7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9281280"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15A83BA" w14:textId="77777777" w:rsidR="00C820B8" w:rsidRPr="0064652A" w:rsidRDefault="008D7FC6">
            <w:pPr>
              <w:jc w:val="right"/>
              <w:rPr>
                <w:color w:val="000000"/>
                <w:sz w:val="20"/>
                <w:szCs w:val="20"/>
              </w:rPr>
            </w:pPr>
            <w:r w:rsidRPr="0064652A">
              <w:rPr>
                <w:color w:val="000000"/>
                <w:sz w:val="20"/>
                <w:szCs w:val="20"/>
              </w:rPr>
              <w:t>79,792</w:t>
            </w:r>
          </w:p>
        </w:tc>
        <w:tc>
          <w:tcPr>
            <w:tcW w:w="50" w:type="pct"/>
            <w:noWrap/>
            <w:tcMar>
              <w:top w:w="5" w:type="dxa"/>
              <w:left w:w="5" w:type="dxa"/>
              <w:bottom w:w="5" w:type="dxa"/>
              <w:right w:w="5" w:type="dxa"/>
            </w:tcMar>
            <w:vAlign w:val="bottom"/>
            <w:hideMark/>
          </w:tcPr>
          <w:p w14:paraId="187C5E80" w14:textId="77777777" w:rsidR="00C820B8" w:rsidRPr="0064652A" w:rsidRDefault="008D7FC6">
            <w:pPr>
              <w:rPr>
                <w:color w:val="000000"/>
                <w:sz w:val="20"/>
                <w:szCs w:val="20"/>
              </w:rPr>
            </w:pPr>
            <w:r w:rsidRPr="0064652A">
              <w:rPr>
                <w:color w:val="000000"/>
                <w:sz w:val="20"/>
                <w:szCs w:val="20"/>
              </w:rPr>
              <w:t> </w:t>
            </w:r>
          </w:p>
        </w:tc>
      </w:tr>
      <w:tr w:rsidR="00C820B8" w:rsidRPr="0064652A" w14:paraId="08794AF9" w14:textId="77777777">
        <w:tc>
          <w:tcPr>
            <w:tcW w:w="0" w:type="auto"/>
            <w:tcMar>
              <w:top w:w="5" w:type="dxa"/>
              <w:left w:w="5" w:type="dxa"/>
              <w:bottom w:w="5" w:type="dxa"/>
              <w:right w:w="5" w:type="dxa"/>
            </w:tcMar>
            <w:vAlign w:val="bottom"/>
            <w:hideMark/>
          </w:tcPr>
          <w:p w14:paraId="5DD9F7C2" w14:textId="77777777" w:rsidR="00C820B8" w:rsidRPr="0064652A" w:rsidRDefault="008D7FC6">
            <w:pPr>
              <w:rPr>
                <w:color w:val="000000"/>
                <w:sz w:val="20"/>
                <w:szCs w:val="20"/>
              </w:rPr>
            </w:pPr>
            <w:r w:rsidRPr="0064652A">
              <w:rPr>
                <w:color w:val="000000"/>
                <w:sz w:val="20"/>
                <w:szCs w:val="20"/>
              </w:rPr>
              <w:t>Accumulated deficit</w:t>
            </w:r>
          </w:p>
        </w:tc>
        <w:tc>
          <w:tcPr>
            <w:tcW w:w="50" w:type="pct"/>
            <w:tcMar>
              <w:top w:w="5" w:type="dxa"/>
              <w:left w:w="5" w:type="dxa"/>
              <w:bottom w:w="5" w:type="dxa"/>
              <w:right w:w="5" w:type="dxa"/>
            </w:tcMar>
            <w:vAlign w:val="bottom"/>
            <w:hideMark/>
          </w:tcPr>
          <w:p w14:paraId="0E02BBD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9ED3CAA"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D3D0E84" w14:textId="77777777" w:rsidR="00C820B8" w:rsidRPr="0064652A" w:rsidRDefault="008D7FC6">
            <w:pPr>
              <w:jc w:val="right"/>
              <w:rPr>
                <w:color w:val="000000"/>
                <w:sz w:val="20"/>
                <w:szCs w:val="20"/>
              </w:rPr>
            </w:pPr>
            <w:r w:rsidRPr="0064652A">
              <w:rPr>
                <w:color w:val="000000"/>
                <w:sz w:val="20"/>
                <w:szCs w:val="20"/>
              </w:rPr>
              <w:t>(23,322</w:t>
            </w:r>
          </w:p>
        </w:tc>
        <w:tc>
          <w:tcPr>
            <w:tcW w:w="50" w:type="pct"/>
            <w:noWrap/>
            <w:tcMar>
              <w:top w:w="5" w:type="dxa"/>
              <w:left w:w="5" w:type="dxa"/>
              <w:bottom w:w="5" w:type="dxa"/>
              <w:right w:w="5" w:type="dxa"/>
            </w:tcMar>
            <w:vAlign w:val="bottom"/>
            <w:hideMark/>
          </w:tcPr>
          <w:p w14:paraId="6A629FBD"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649701E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031F35C"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751D97A" w14:textId="77777777" w:rsidR="00C820B8" w:rsidRPr="0064652A" w:rsidRDefault="008D7FC6">
            <w:pPr>
              <w:jc w:val="right"/>
              <w:rPr>
                <w:color w:val="000000"/>
                <w:sz w:val="20"/>
                <w:szCs w:val="20"/>
              </w:rPr>
            </w:pPr>
            <w:r w:rsidRPr="0064652A">
              <w:rPr>
                <w:color w:val="000000"/>
                <w:sz w:val="20"/>
                <w:szCs w:val="20"/>
              </w:rPr>
              <w:t>(24,971</w:t>
            </w:r>
          </w:p>
        </w:tc>
        <w:tc>
          <w:tcPr>
            <w:tcW w:w="50" w:type="pct"/>
            <w:noWrap/>
            <w:tcMar>
              <w:top w:w="5" w:type="dxa"/>
              <w:left w:w="5" w:type="dxa"/>
              <w:bottom w:w="5" w:type="dxa"/>
              <w:right w:w="5" w:type="dxa"/>
            </w:tcMar>
            <w:vAlign w:val="bottom"/>
            <w:hideMark/>
          </w:tcPr>
          <w:p w14:paraId="4A10FAFB" w14:textId="77777777" w:rsidR="00C820B8" w:rsidRPr="0064652A" w:rsidRDefault="008D7FC6">
            <w:pPr>
              <w:rPr>
                <w:color w:val="000000"/>
                <w:sz w:val="20"/>
                <w:szCs w:val="20"/>
              </w:rPr>
            </w:pPr>
            <w:r w:rsidRPr="0064652A">
              <w:rPr>
                <w:color w:val="000000"/>
                <w:sz w:val="20"/>
                <w:szCs w:val="20"/>
              </w:rPr>
              <w:t>)</w:t>
            </w:r>
          </w:p>
        </w:tc>
      </w:tr>
      <w:tr w:rsidR="00C820B8" w:rsidRPr="0064652A" w14:paraId="1779FA76" w14:textId="77777777">
        <w:tc>
          <w:tcPr>
            <w:tcW w:w="0" w:type="auto"/>
            <w:tcMar>
              <w:top w:w="5" w:type="dxa"/>
              <w:left w:w="5" w:type="dxa"/>
              <w:bottom w:w="5" w:type="dxa"/>
              <w:right w:w="5" w:type="dxa"/>
            </w:tcMar>
            <w:vAlign w:val="bottom"/>
            <w:hideMark/>
          </w:tcPr>
          <w:p w14:paraId="303DF97E" w14:textId="77777777" w:rsidR="00C820B8" w:rsidRPr="0064652A" w:rsidRDefault="008D7FC6">
            <w:pPr>
              <w:rPr>
                <w:color w:val="000000"/>
                <w:sz w:val="20"/>
                <w:szCs w:val="20"/>
              </w:rPr>
            </w:pPr>
            <w:r w:rsidRPr="0064652A">
              <w:rPr>
                <w:color w:val="000000"/>
                <w:sz w:val="20"/>
                <w:szCs w:val="20"/>
              </w:rPr>
              <w:t>Treasury stock, at cost (31,923,145 shares at December 31, 2023 and March 31, 2023, respectively)</w:t>
            </w:r>
          </w:p>
        </w:tc>
        <w:tc>
          <w:tcPr>
            <w:tcW w:w="50" w:type="pct"/>
            <w:tcMar>
              <w:top w:w="5" w:type="dxa"/>
              <w:left w:w="5" w:type="dxa"/>
              <w:bottom w:w="5" w:type="dxa"/>
              <w:right w:w="5" w:type="dxa"/>
            </w:tcMar>
            <w:vAlign w:val="bottom"/>
            <w:hideMark/>
          </w:tcPr>
          <w:p w14:paraId="549911BE"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F4A7DFE"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7D03631" w14:textId="77777777" w:rsidR="00C820B8" w:rsidRPr="0064652A" w:rsidRDefault="008D7FC6">
            <w:pPr>
              <w:jc w:val="right"/>
              <w:rPr>
                <w:color w:val="000000"/>
                <w:sz w:val="20"/>
                <w:szCs w:val="20"/>
              </w:rPr>
            </w:pPr>
            <w:r w:rsidRPr="0064652A">
              <w:rPr>
                <w:color w:val="000000"/>
                <w:sz w:val="20"/>
                <w:szCs w:val="20"/>
              </w:rPr>
              <w:t>(33,201</w:t>
            </w:r>
          </w:p>
        </w:tc>
        <w:tc>
          <w:tcPr>
            <w:tcW w:w="50" w:type="pct"/>
            <w:noWrap/>
            <w:tcMar>
              <w:top w:w="5" w:type="dxa"/>
              <w:left w:w="5" w:type="dxa"/>
              <w:bottom w:w="20" w:type="dxa"/>
              <w:right w:w="5" w:type="dxa"/>
            </w:tcMar>
            <w:vAlign w:val="bottom"/>
            <w:hideMark/>
          </w:tcPr>
          <w:p w14:paraId="49BBC320"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43398DD9"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20394E7"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E7417F1" w14:textId="77777777" w:rsidR="00C820B8" w:rsidRPr="0064652A" w:rsidRDefault="008D7FC6">
            <w:pPr>
              <w:jc w:val="right"/>
              <w:rPr>
                <w:color w:val="000000"/>
                <w:sz w:val="20"/>
                <w:szCs w:val="20"/>
              </w:rPr>
            </w:pPr>
            <w:r w:rsidRPr="0064652A">
              <w:rPr>
                <w:color w:val="000000"/>
                <w:sz w:val="20"/>
                <w:szCs w:val="20"/>
              </w:rPr>
              <w:t>(33,201</w:t>
            </w:r>
          </w:p>
        </w:tc>
        <w:tc>
          <w:tcPr>
            <w:tcW w:w="50" w:type="pct"/>
            <w:noWrap/>
            <w:tcMar>
              <w:top w:w="5" w:type="dxa"/>
              <w:left w:w="5" w:type="dxa"/>
              <w:bottom w:w="20" w:type="dxa"/>
              <w:right w:w="5" w:type="dxa"/>
            </w:tcMar>
            <w:vAlign w:val="bottom"/>
            <w:hideMark/>
          </w:tcPr>
          <w:p w14:paraId="36C750F8" w14:textId="77777777" w:rsidR="00C820B8" w:rsidRPr="0064652A" w:rsidRDefault="008D7FC6">
            <w:pPr>
              <w:rPr>
                <w:color w:val="000000"/>
                <w:sz w:val="20"/>
                <w:szCs w:val="20"/>
              </w:rPr>
            </w:pPr>
            <w:r w:rsidRPr="0064652A">
              <w:rPr>
                <w:color w:val="000000"/>
                <w:sz w:val="20"/>
                <w:szCs w:val="20"/>
              </w:rPr>
              <w:t>)</w:t>
            </w:r>
          </w:p>
        </w:tc>
      </w:tr>
      <w:tr w:rsidR="00C820B8" w:rsidRPr="0064652A" w14:paraId="28EDECB4" w14:textId="77777777">
        <w:tc>
          <w:tcPr>
            <w:tcW w:w="0" w:type="auto"/>
            <w:tcMar>
              <w:top w:w="5" w:type="dxa"/>
              <w:left w:w="5" w:type="dxa"/>
              <w:bottom w:w="5" w:type="dxa"/>
              <w:right w:w="5" w:type="dxa"/>
            </w:tcMar>
            <w:vAlign w:val="bottom"/>
            <w:hideMark/>
          </w:tcPr>
          <w:p w14:paraId="3D8A3578" w14:textId="77777777" w:rsidR="00C820B8" w:rsidRPr="0064652A" w:rsidRDefault="008D7FC6">
            <w:pPr>
              <w:ind w:left="180"/>
              <w:rPr>
                <w:color w:val="000000"/>
                <w:sz w:val="20"/>
                <w:szCs w:val="20"/>
              </w:rPr>
            </w:pPr>
            <w:r w:rsidRPr="0064652A">
              <w:rPr>
                <w:color w:val="000000"/>
                <w:sz w:val="20"/>
                <w:szCs w:val="20"/>
              </w:rPr>
              <w:t>Total Shareholders’ Equity</w:t>
            </w:r>
          </w:p>
        </w:tc>
        <w:tc>
          <w:tcPr>
            <w:tcW w:w="50" w:type="pct"/>
            <w:tcMar>
              <w:top w:w="5" w:type="dxa"/>
              <w:left w:w="5" w:type="dxa"/>
              <w:bottom w:w="20" w:type="dxa"/>
              <w:right w:w="5" w:type="dxa"/>
            </w:tcMar>
            <w:vAlign w:val="bottom"/>
            <w:hideMark/>
          </w:tcPr>
          <w:p w14:paraId="7A3203B3"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BC4D253"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8C5B45B" w14:textId="77777777" w:rsidR="00C820B8" w:rsidRPr="0064652A" w:rsidRDefault="008D7FC6">
            <w:pPr>
              <w:jc w:val="right"/>
              <w:rPr>
                <w:color w:val="000000"/>
                <w:sz w:val="20"/>
                <w:szCs w:val="20"/>
              </w:rPr>
            </w:pPr>
            <w:r w:rsidRPr="0064652A">
              <w:rPr>
                <w:color w:val="000000"/>
                <w:sz w:val="20"/>
                <w:szCs w:val="20"/>
              </w:rPr>
              <w:t>27,108</w:t>
            </w:r>
          </w:p>
        </w:tc>
        <w:tc>
          <w:tcPr>
            <w:tcW w:w="50" w:type="pct"/>
            <w:noWrap/>
            <w:tcMar>
              <w:top w:w="5" w:type="dxa"/>
              <w:left w:w="5" w:type="dxa"/>
              <w:bottom w:w="20" w:type="dxa"/>
              <w:right w:w="5" w:type="dxa"/>
            </w:tcMar>
            <w:vAlign w:val="bottom"/>
            <w:hideMark/>
          </w:tcPr>
          <w:p w14:paraId="53A5112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7E8FD603"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F1230EA"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7EB7CB7" w14:textId="77777777" w:rsidR="00C820B8" w:rsidRPr="0064652A" w:rsidRDefault="008D7FC6">
            <w:pPr>
              <w:jc w:val="right"/>
              <w:rPr>
                <w:color w:val="000000"/>
                <w:sz w:val="20"/>
                <w:szCs w:val="20"/>
              </w:rPr>
            </w:pPr>
            <w:r w:rsidRPr="0064652A">
              <w:rPr>
                <w:color w:val="000000"/>
                <w:sz w:val="20"/>
                <w:szCs w:val="20"/>
              </w:rPr>
              <w:t>25,459</w:t>
            </w:r>
          </w:p>
        </w:tc>
        <w:tc>
          <w:tcPr>
            <w:tcW w:w="50" w:type="pct"/>
            <w:noWrap/>
            <w:tcMar>
              <w:top w:w="5" w:type="dxa"/>
              <w:left w:w="5" w:type="dxa"/>
              <w:bottom w:w="20" w:type="dxa"/>
              <w:right w:w="5" w:type="dxa"/>
            </w:tcMar>
            <w:vAlign w:val="bottom"/>
            <w:hideMark/>
          </w:tcPr>
          <w:p w14:paraId="101C4E20" w14:textId="77777777" w:rsidR="00C820B8" w:rsidRPr="0064652A" w:rsidRDefault="008D7FC6">
            <w:pPr>
              <w:rPr>
                <w:color w:val="000000"/>
                <w:sz w:val="20"/>
                <w:szCs w:val="20"/>
              </w:rPr>
            </w:pPr>
            <w:r w:rsidRPr="0064652A">
              <w:rPr>
                <w:color w:val="000000"/>
                <w:sz w:val="20"/>
                <w:szCs w:val="20"/>
              </w:rPr>
              <w:t> </w:t>
            </w:r>
          </w:p>
        </w:tc>
      </w:tr>
      <w:tr w:rsidR="00C820B8" w:rsidRPr="0064652A" w14:paraId="4115E56F" w14:textId="77777777">
        <w:tc>
          <w:tcPr>
            <w:tcW w:w="0" w:type="auto"/>
            <w:tcMar>
              <w:top w:w="5" w:type="dxa"/>
              <w:left w:w="5" w:type="dxa"/>
              <w:bottom w:w="5" w:type="dxa"/>
              <w:right w:w="5" w:type="dxa"/>
            </w:tcMar>
            <w:vAlign w:val="bottom"/>
            <w:hideMark/>
          </w:tcPr>
          <w:p w14:paraId="4A9E8F61" w14:textId="77777777" w:rsidR="00C820B8" w:rsidRPr="0064652A" w:rsidRDefault="008D7FC6">
            <w:pPr>
              <w:ind w:left="360"/>
              <w:rPr>
                <w:color w:val="000000"/>
                <w:sz w:val="20"/>
                <w:szCs w:val="20"/>
              </w:rPr>
            </w:pPr>
            <w:r w:rsidRPr="0064652A">
              <w:rPr>
                <w:color w:val="000000"/>
                <w:sz w:val="20"/>
                <w:szCs w:val="20"/>
              </w:rPr>
              <w:t>Total Liabilities and Shareholders’ Equity</w:t>
            </w:r>
          </w:p>
        </w:tc>
        <w:tc>
          <w:tcPr>
            <w:tcW w:w="50" w:type="pct"/>
            <w:tcMar>
              <w:top w:w="5" w:type="dxa"/>
              <w:left w:w="5" w:type="dxa"/>
              <w:bottom w:w="5" w:type="dxa"/>
              <w:right w:w="5" w:type="dxa"/>
            </w:tcMar>
            <w:vAlign w:val="bottom"/>
            <w:hideMark/>
          </w:tcPr>
          <w:p w14:paraId="3FEF5BD9"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CA364FA" w14:textId="77777777" w:rsidR="00C820B8" w:rsidRPr="0064652A" w:rsidRDefault="008D7FC6">
            <w:pPr>
              <w:rPr>
                <w:color w:val="000000"/>
                <w:sz w:val="20"/>
                <w:szCs w:val="20"/>
              </w:rPr>
            </w:pPr>
            <w:r w:rsidRPr="0064652A">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365C029" w14:textId="77777777" w:rsidR="00C820B8" w:rsidRPr="0064652A" w:rsidRDefault="008D7FC6">
            <w:pPr>
              <w:jc w:val="right"/>
              <w:rPr>
                <w:color w:val="000000"/>
                <w:sz w:val="20"/>
                <w:szCs w:val="20"/>
              </w:rPr>
            </w:pPr>
            <w:r w:rsidRPr="0064652A">
              <w:rPr>
                <w:color w:val="000000"/>
                <w:sz w:val="20"/>
                <w:szCs w:val="20"/>
              </w:rPr>
              <w:t>30,222</w:t>
            </w:r>
          </w:p>
        </w:tc>
        <w:tc>
          <w:tcPr>
            <w:tcW w:w="50" w:type="pct"/>
            <w:noWrap/>
            <w:tcMar>
              <w:top w:w="5" w:type="dxa"/>
              <w:left w:w="5" w:type="dxa"/>
              <w:bottom w:w="50" w:type="dxa"/>
              <w:right w:w="5" w:type="dxa"/>
            </w:tcMar>
            <w:vAlign w:val="bottom"/>
            <w:hideMark/>
          </w:tcPr>
          <w:p w14:paraId="7189A99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93C6870"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D7F7551" w14:textId="77777777" w:rsidR="00C820B8" w:rsidRPr="0064652A" w:rsidRDefault="008D7FC6">
            <w:pPr>
              <w:rPr>
                <w:color w:val="000000"/>
                <w:sz w:val="20"/>
                <w:szCs w:val="20"/>
              </w:rPr>
            </w:pPr>
            <w:r w:rsidRPr="0064652A">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DC47C18" w14:textId="77777777" w:rsidR="00C820B8" w:rsidRPr="0064652A" w:rsidRDefault="008D7FC6">
            <w:pPr>
              <w:jc w:val="right"/>
              <w:rPr>
                <w:color w:val="000000"/>
                <w:sz w:val="20"/>
                <w:szCs w:val="20"/>
              </w:rPr>
            </w:pPr>
            <w:r w:rsidRPr="0064652A">
              <w:rPr>
                <w:color w:val="000000"/>
                <w:sz w:val="20"/>
                <w:szCs w:val="20"/>
              </w:rPr>
              <w:t>31,371</w:t>
            </w:r>
          </w:p>
        </w:tc>
        <w:tc>
          <w:tcPr>
            <w:tcW w:w="50" w:type="pct"/>
            <w:noWrap/>
            <w:tcMar>
              <w:top w:w="5" w:type="dxa"/>
              <w:left w:w="5" w:type="dxa"/>
              <w:bottom w:w="50" w:type="dxa"/>
              <w:right w:w="5" w:type="dxa"/>
            </w:tcMar>
            <w:vAlign w:val="bottom"/>
            <w:hideMark/>
          </w:tcPr>
          <w:p w14:paraId="45D96C20" w14:textId="77777777" w:rsidR="00C820B8" w:rsidRPr="0064652A" w:rsidRDefault="008D7FC6">
            <w:pPr>
              <w:rPr>
                <w:color w:val="000000"/>
                <w:sz w:val="20"/>
                <w:szCs w:val="20"/>
              </w:rPr>
            </w:pPr>
            <w:r w:rsidRPr="0064652A">
              <w:rPr>
                <w:color w:val="000000"/>
                <w:sz w:val="20"/>
                <w:szCs w:val="20"/>
              </w:rPr>
              <w:t> </w:t>
            </w:r>
          </w:p>
        </w:tc>
      </w:tr>
    </w:tbl>
    <w:p w14:paraId="000FBD0D" w14:textId="77777777" w:rsidR="00C820B8" w:rsidRPr="0064652A" w:rsidRDefault="008D7FC6">
      <w:pPr>
        <w:rPr>
          <w:sz w:val="20"/>
          <w:szCs w:val="20"/>
        </w:rPr>
      </w:pPr>
      <w:r w:rsidRPr="0064652A">
        <w:rPr>
          <w:sz w:val="20"/>
          <w:szCs w:val="20"/>
        </w:rPr>
        <w:t> </w:t>
      </w:r>
    </w:p>
    <w:p w14:paraId="76D45A82" w14:textId="77777777" w:rsidR="00C820B8" w:rsidRPr="0064652A" w:rsidRDefault="008D7FC6">
      <w:pPr>
        <w:jc w:val="center"/>
        <w:rPr>
          <w:sz w:val="20"/>
          <w:szCs w:val="20"/>
        </w:rPr>
      </w:pPr>
      <w:r w:rsidRPr="0064652A">
        <w:rPr>
          <w:sz w:val="20"/>
          <w:szCs w:val="20"/>
        </w:rPr>
        <w:t>The accompanying notes are an integral part of the consolidated financial statements.</w:t>
      </w:r>
    </w:p>
    <w:p w14:paraId="4BA135AC" w14:textId="77777777" w:rsidR="00C820B8" w:rsidRPr="0064652A" w:rsidRDefault="008D7FC6">
      <w:pPr>
        <w:rPr>
          <w:sz w:val="20"/>
          <w:szCs w:val="20"/>
        </w:rPr>
      </w:pPr>
      <w:r w:rsidRPr="0064652A">
        <w:rPr>
          <w:sz w:val="20"/>
          <w:szCs w:val="20"/>
        </w:rPr>
        <w:t> </w:t>
      </w:r>
    </w:p>
    <w:p w14:paraId="0294E61F" w14:textId="77777777" w:rsidR="00C820B8" w:rsidRPr="0064652A" w:rsidRDefault="008D7FC6">
      <w:pPr>
        <w:jc w:val="center"/>
        <w:rPr>
          <w:sz w:val="20"/>
          <w:szCs w:val="20"/>
        </w:rPr>
      </w:pPr>
      <w:r w:rsidRPr="0064652A">
        <w:rPr>
          <w:sz w:val="20"/>
          <w:szCs w:val="20"/>
        </w:rPr>
        <w:t>4</w:t>
      </w:r>
    </w:p>
    <w:p w14:paraId="254CF68D"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149B370D" w14:textId="77777777" w:rsidR="00C820B8" w:rsidRPr="0064652A" w:rsidRDefault="008D7FC6">
      <w:r w:rsidRPr="0064652A">
        <w:t> </w:t>
      </w:r>
    </w:p>
    <w:p w14:paraId="219B9E34" w14:textId="77777777" w:rsidR="00C820B8" w:rsidRPr="0064652A" w:rsidRDefault="008D7FC6">
      <w:pPr>
        <w:rPr>
          <w:sz w:val="20"/>
          <w:szCs w:val="20"/>
        </w:rPr>
      </w:pPr>
      <w:r w:rsidRPr="0064652A">
        <w:rPr>
          <w:sz w:val="20"/>
          <w:szCs w:val="20"/>
        </w:rPr>
        <w:t> </w:t>
      </w:r>
    </w:p>
    <w:p w14:paraId="6A10F85F" w14:textId="77777777" w:rsidR="00C820B8" w:rsidRPr="0064652A" w:rsidRDefault="008D7FC6">
      <w:pPr>
        <w:jc w:val="center"/>
        <w:rPr>
          <w:sz w:val="20"/>
          <w:szCs w:val="20"/>
        </w:rPr>
      </w:pPr>
      <w:bookmarkStart w:id="6" w:name="cfs"/>
      <w:bookmarkEnd w:id="6"/>
      <w:r w:rsidRPr="0064652A">
        <w:rPr>
          <w:b/>
          <w:bCs/>
          <w:sz w:val="20"/>
          <w:szCs w:val="20"/>
        </w:rPr>
        <w:t>EMERSON RADIO CORP. AND SUBSIDIARIES</w:t>
      </w:r>
    </w:p>
    <w:p w14:paraId="2815394B" w14:textId="77777777" w:rsidR="00C820B8" w:rsidRPr="0064652A" w:rsidRDefault="008D7FC6">
      <w:pPr>
        <w:jc w:val="center"/>
        <w:rPr>
          <w:sz w:val="20"/>
          <w:szCs w:val="20"/>
        </w:rPr>
      </w:pPr>
      <w:r w:rsidRPr="0064652A">
        <w:rPr>
          <w:b/>
          <w:bCs/>
          <w:sz w:val="20"/>
          <w:szCs w:val="20"/>
        </w:rPr>
        <w:t>CONSOLIDATED STATEMENTS OF CASH FLOWS</w:t>
      </w:r>
    </w:p>
    <w:p w14:paraId="5143B17C" w14:textId="77777777" w:rsidR="00C820B8" w:rsidRPr="0064652A" w:rsidRDefault="008D7FC6">
      <w:pPr>
        <w:jc w:val="center"/>
        <w:rPr>
          <w:sz w:val="20"/>
          <w:szCs w:val="20"/>
        </w:rPr>
      </w:pPr>
      <w:r w:rsidRPr="0064652A">
        <w:rPr>
          <w:b/>
          <w:bCs/>
          <w:sz w:val="20"/>
          <w:szCs w:val="20"/>
        </w:rPr>
        <w:t>(Unaudited)</w:t>
      </w:r>
    </w:p>
    <w:p w14:paraId="2CFCC794" w14:textId="77777777" w:rsidR="00C820B8" w:rsidRPr="0064652A" w:rsidRDefault="008D7FC6">
      <w:pPr>
        <w:jc w:val="center"/>
        <w:rPr>
          <w:sz w:val="20"/>
          <w:szCs w:val="20"/>
        </w:rPr>
      </w:pPr>
      <w:r w:rsidRPr="0064652A">
        <w:rPr>
          <w:b/>
          <w:bCs/>
          <w:sz w:val="20"/>
          <w:szCs w:val="20"/>
        </w:rPr>
        <w:t>(In thousands)</w:t>
      </w:r>
    </w:p>
    <w:p w14:paraId="788130F5" w14:textId="77777777" w:rsidR="00C820B8" w:rsidRPr="0064652A" w:rsidRDefault="008D7FC6">
      <w:pPr>
        <w:rPr>
          <w:sz w:val="20"/>
          <w:szCs w:val="20"/>
        </w:rPr>
      </w:pPr>
      <w:r w:rsidRPr="0064652A">
        <w:rPr>
          <w:sz w:val="20"/>
          <w:szCs w:val="20"/>
        </w:rPr>
        <w:t> </w:t>
      </w:r>
    </w:p>
    <w:tbl>
      <w:tblPr>
        <w:tblStyle w:val="finTable"/>
        <w:tblW w:w="5000" w:type="pct"/>
        <w:tblInd w:w="5" w:type="dxa"/>
        <w:tblCellMar>
          <w:left w:w="0" w:type="dxa"/>
          <w:right w:w="0" w:type="dxa"/>
        </w:tblCellMar>
        <w:tblLook w:val="05E0" w:firstRow="1" w:lastRow="1" w:firstColumn="1" w:lastColumn="1" w:noHBand="0" w:noVBand="1"/>
      </w:tblPr>
      <w:tblGrid>
        <w:gridCol w:w="7559"/>
        <w:gridCol w:w="107"/>
        <w:gridCol w:w="110"/>
        <w:gridCol w:w="1295"/>
        <w:gridCol w:w="107"/>
        <w:gridCol w:w="108"/>
        <w:gridCol w:w="110"/>
        <w:gridCol w:w="1296"/>
        <w:gridCol w:w="108"/>
      </w:tblGrid>
      <w:tr w:rsidR="00C820B8" w:rsidRPr="0064652A" w14:paraId="6E0A39B6" w14:textId="77777777">
        <w:tc>
          <w:tcPr>
            <w:tcW w:w="0" w:type="auto"/>
            <w:tcMar>
              <w:top w:w="5" w:type="dxa"/>
              <w:left w:w="5" w:type="dxa"/>
              <w:bottom w:w="5" w:type="dxa"/>
              <w:right w:w="5" w:type="dxa"/>
            </w:tcMar>
            <w:vAlign w:val="bottom"/>
            <w:hideMark/>
          </w:tcPr>
          <w:p w14:paraId="0F40300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C801EBE" w14:textId="77777777" w:rsidR="00C820B8" w:rsidRPr="0064652A" w:rsidRDefault="008D7FC6">
            <w:pPr>
              <w:rPr>
                <w:color w:val="000000"/>
                <w:sz w:val="20"/>
                <w:szCs w:val="20"/>
              </w:rPr>
            </w:pPr>
            <w:r w:rsidRPr="0064652A">
              <w:rPr>
                <w:color w:val="000000"/>
                <w:sz w:val="20"/>
                <w:szCs w:val="20"/>
              </w:rPr>
              <w:t> </w:t>
            </w:r>
          </w:p>
        </w:tc>
        <w:tc>
          <w:tcPr>
            <w:tcW w:w="0" w:type="auto"/>
            <w:gridSpan w:val="6"/>
            <w:tcMar>
              <w:top w:w="5" w:type="dxa"/>
              <w:left w:w="5" w:type="dxa"/>
              <w:bottom w:w="5" w:type="dxa"/>
              <w:right w:w="5" w:type="dxa"/>
            </w:tcMar>
            <w:vAlign w:val="bottom"/>
            <w:hideMark/>
          </w:tcPr>
          <w:p w14:paraId="4A282575" w14:textId="77777777" w:rsidR="00C820B8" w:rsidRPr="0064652A" w:rsidRDefault="008D7FC6">
            <w:pPr>
              <w:jc w:val="center"/>
              <w:rPr>
                <w:color w:val="000000"/>
                <w:sz w:val="20"/>
                <w:szCs w:val="20"/>
              </w:rPr>
            </w:pPr>
            <w:r w:rsidRPr="0064652A">
              <w:rPr>
                <w:b/>
                <w:bCs/>
                <w:color w:val="000000"/>
                <w:sz w:val="20"/>
                <w:szCs w:val="20"/>
              </w:rPr>
              <w:t>Nine Months Ended December 31,</w:t>
            </w:r>
          </w:p>
        </w:tc>
        <w:tc>
          <w:tcPr>
            <w:tcW w:w="0" w:type="auto"/>
            <w:tcMar>
              <w:top w:w="5" w:type="dxa"/>
              <w:left w:w="5" w:type="dxa"/>
              <w:bottom w:w="5" w:type="dxa"/>
              <w:right w:w="5" w:type="dxa"/>
            </w:tcMar>
            <w:vAlign w:val="bottom"/>
            <w:hideMark/>
          </w:tcPr>
          <w:p w14:paraId="0131C975" w14:textId="77777777" w:rsidR="00C820B8" w:rsidRPr="0064652A" w:rsidRDefault="008D7FC6">
            <w:pPr>
              <w:rPr>
                <w:color w:val="000000"/>
                <w:sz w:val="20"/>
                <w:szCs w:val="20"/>
              </w:rPr>
            </w:pPr>
            <w:r w:rsidRPr="0064652A">
              <w:rPr>
                <w:color w:val="000000"/>
                <w:sz w:val="20"/>
                <w:szCs w:val="20"/>
              </w:rPr>
              <w:t> </w:t>
            </w:r>
          </w:p>
        </w:tc>
      </w:tr>
      <w:tr w:rsidR="00C820B8" w:rsidRPr="0064652A" w14:paraId="0FF1AFD6" w14:textId="77777777">
        <w:tc>
          <w:tcPr>
            <w:tcW w:w="0" w:type="auto"/>
            <w:tcMar>
              <w:top w:w="5" w:type="dxa"/>
              <w:left w:w="5" w:type="dxa"/>
              <w:bottom w:w="5" w:type="dxa"/>
              <w:right w:w="5" w:type="dxa"/>
            </w:tcMar>
            <w:vAlign w:val="bottom"/>
            <w:hideMark/>
          </w:tcPr>
          <w:p w14:paraId="1954DB67"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771CD2A"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3D8C0CB" w14:textId="77777777" w:rsidR="00C820B8" w:rsidRPr="0064652A" w:rsidRDefault="008D7FC6">
            <w:pPr>
              <w:jc w:val="center"/>
              <w:rPr>
                <w:color w:val="000000"/>
                <w:sz w:val="20"/>
                <w:szCs w:val="20"/>
              </w:rPr>
            </w:pPr>
            <w:r w:rsidRPr="0064652A">
              <w:rPr>
                <w:b/>
                <w:bCs/>
                <w:color w:val="000000"/>
                <w:sz w:val="20"/>
                <w:szCs w:val="20"/>
              </w:rPr>
              <w:t>2023</w:t>
            </w:r>
          </w:p>
        </w:tc>
        <w:tc>
          <w:tcPr>
            <w:tcW w:w="0" w:type="auto"/>
            <w:tcMar>
              <w:top w:w="5" w:type="dxa"/>
              <w:left w:w="5" w:type="dxa"/>
              <w:bottom w:w="20" w:type="dxa"/>
              <w:right w:w="5" w:type="dxa"/>
            </w:tcMar>
            <w:vAlign w:val="bottom"/>
            <w:hideMark/>
          </w:tcPr>
          <w:p w14:paraId="7D68DAD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AA1A6E1"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68BE7F8" w14:textId="77777777" w:rsidR="00C820B8" w:rsidRPr="0064652A" w:rsidRDefault="008D7FC6">
            <w:pPr>
              <w:jc w:val="center"/>
              <w:rPr>
                <w:color w:val="000000"/>
                <w:sz w:val="20"/>
                <w:szCs w:val="20"/>
              </w:rPr>
            </w:pPr>
            <w:r w:rsidRPr="0064652A">
              <w:rPr>
                <w:b/>
                <w:bCs/>
                <w:color w:val="000000"/>
                <w:sz w:val="20"/>
                <w:szCs w:val="20"/>
              </w:rPr>
              <w:t>2022</w:t>
            </w:r>
          </w:p>
        </w:tc>
        <w:tc>
          <w:tcPr>
            <w:tcW w:w="0" w:type="auto"/>
            <w:tcMar>
              <w:top w:w="5" w:type="dxa"/>
              <w:left w:w="5" w:type="dxa"/>
              <w:bottom w:w="20" w:type="dxa"/>
              <w:right w:w="5" w:type="dxa"/>
            </w:tcMar>
            <w:vAlign w:val="bottom"/>
            <w:hideMark/>
          </w:tcPr>
          <w:p w14:paraId="204EF3F5" w14:textId="77777777" w:rsidR="00C820B8" w:rsidRPr="0064652A" w:rsidRDefault="008D7FC6">
            <w:pPr>
              <w:rPr>
                <w:color w:val="000000"/>
                <w:sz w:val="20"/>
                <w:szCs w:val="20"/>
              </w:rPr>
            </w:pPr>
            <w:r w:rsidRPr="0064652A">
              <w:rPr>
                <w:color w:val="000000"/>
                <w:sz w:val="20"/>
                <w:szCs w:val="20"/>
              </w:rPr>
              <w:t> </w:t>
            </w:r>
          </w:p>
        </w:tc>
      </w:tr>
      <w:tr w:rsidR="00C820B8" w:rsidRPr="0064652A" w14:paraId="41DB3127" w14:textId="77777777">
        <w:tc>
          <w:tcPr>
            <w:tcW w:w="3500" w:type="pct"/>
            <w:tcMar>
              <w:top w:w="5" w:type="dxa"/>
              <w:left w:w="5" w:type="dxa"/>
              <w:bottom w:w="5" w:type="dxa"/>
              <w:right w:w="5" w:type="dxa"/>
            </w:tcMar>
            <w:vAlign w:val="bottom"/>
            <w:hideMark/>
          </w:tcPr>
          <w:p w14:paraId="45F35033" w14:textId="77777777" w:rsidR="00C820B8" w:rsidRPr="0064652A" w:rsidRDefault="008D7FC6">
            <w:pPr>
              <w:rPr>
                <w:color w:val="000000"/>
                <w:sz w:val="20"/>
                <w:szCs w:val="20"/>
              </w:rPr>
            </w:pPr>
            <w:r w:rsidRPr="0064652A">
              <w:rPr>
                <w:b/>
                <w:bCs/>
                <w:color w:val="000000"/>
                <w:sz w:val="20"/>
                <w:szCs w:val="20"/>
              </w:rPr>
              <w:t>Cash Flows from Operating Activities:</w:t>
            </w:r>
          </w:p>
        </w:tc>
        <w:tc>
          <w:tcPr>
            <w:tcW w:w="0" w:type="auto"/>
            <w:tcMar>
              <w:top w:w="5" w:type="dxa"/>
              <w:left w:w="5" w:type="dxa"/>
              <w:bottom w:w="5" w:type="dxa"/>
              <w:right w:w="5" w:type="dxa"/>
            </w:tcMar>
            <w:vAlign w:val="bottom"/>
            <w:hideMark/>
          </w:tcPr>
          <w:p w14:paraId="22589BD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C5FE68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61C2EFF" w14:textId="77777777" w:rsidR="00C820B8" w:rsidRPr="0064652A" w:rsidRDefault="008D7FC6">
            <w:pPr>
              <w:jc w:val="center"/>
              <w:rPr>
                <w:color w:val="000000"/>
                <w:sz w:val="20"/>
                <w:szCs w:val="20"/>
              </w:rPr>
            </w:pPr>
            <w:r w:rsidRPr="0064652A">
              <w:rPr>
                <w:rStyle w:val="ins"/>
                <w:color w:val="000000"/>
                <w:sz w:val="20"/>
                <w:szCs w:val="20"/>
              </w:rPr>
              <w:t>(Not Reviewed)</w:t>
            </w:r>
          </w:p>
        </w:tc>
        <w:tc>
          <w:tcPr>
            <w:tcW w:w="0" w:type="auto"/>
            <w:tcMar>
              <w:top w:w="5" w:type="dxa"/>
              <w:left w:w="5" w:type="dxa"/>
              <w:bottom w:w="5" w:type="dxa"/>
              <w:right w:w="5" w:type="dxa"/>
            </w:tcMar>
            <w:vAlign w:val="bottom"/>
            <w:hideMark/>
          </w:tcPr>
          <w:p w14:paraId="4243D7EF"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3FBFC9D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BAFD53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3926B3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3287348" w14:textId="77777777" w:rsidR="00C820B8" w:rsidRPr="0064652A" w:rsidRDefault="008D7FC6">
            <w:pPr>
              <w:rPr>
                <w:color w:val="000000"/>
                <w:sz w:val="20"/>
                <w:szCs w:val="20"/>
              </w:rPr>
            </w:pPr>
            <w:r w:rsidRPr="0064652A">
              <w:rPr>
                <w:b/>
                <w:bCs/>
                <w:color w:val="000000"/>
                <w:sz w:val="20"/>
                <w:szCs w:val="20"/>
              </w:rPr>
              <w:t> </w:t>
            </w:r>
          </w:p>
        </w:tc>
      </w:tr>
      <w:tr w:rsidR="00C820B8" w:rsidRPr="0064652A" w14:paraId="656FCF82" w14:textId="77777777">
        <w:tc>
          <w:tcPr>
            <w:tcW w:w="0" w:type="auto"/>
            <w:tcMar>
              <w:top w:w="5" w:type="dxa"/>
              <w:left w:w="5" w:type="dxa"/>
              <w:bottom w:w="5" w:type="dxa"/>
              <w:right w:w="5" w:type="dxa"/>
            </w:tcMar>
            <w:vAlign w:val="bottom"/>
            <w:hideMark/>
          </w:tcPr>
          <w:p w14:paraId="10F96E27" w14:textId="77777777" w:rsidR="00C820B8" w:rsidRPr="0064652A" w:rsidRDefault="008D7FC6">
            <w:pPr>
              <w:ind w:left="180"/>
              <w:rPr>
                <w:color w:val="000000"/>
                <w:sz w:val="20"/>
                <w:szCs w:val="20"/>
              </w:rPr>
            </w:pPr>
            <w:r w:rsidRPr="0064652A">
              <w:rPr>
                <w:color w:val="000000"/>
                <w:sz w:val="20"/>
                <w:szCs w:val="20"/>
              </w:rPr>
              <w:t>Net income (loss)</w:t>
            </w:r>
          </w:p>
        </w:tc>
        <w:tc>
          <w:tcPr>
            <w:tcW w:w="50" w:type="pct"/>
            <w:tcMar>
              <w:top w:w="5" w:type="dxa"/>
              <w:left w:w="5" w:type="dxa"/>
              <w:bottom w:w="5" w:type="dxa"/>
              <w:right w:w="5" w:type="dxa"/>
            </w:tcMar>
            <w:vAlign w:val="bottom"/>
            <w:hideMark/>
          </w:tcPr>
          <w:p w14:paraId="4C03958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08B2658"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354AC574" w14:textId="77777777" w:rsidR="00C820B8" w:rsidRPr="0064652A" w:rsidRDefault="008D7FC6">
            <w:pPr>
              <w:jc w:val="right"/>
              <w:rPr>
                <w:color w:val="000000"/>
                <w:sz w:val="20"/>
                <w:szCs w:val="20"/>
              </w:rPr>
            </w:pPr>
            <w:r w:rsidRPr="0064652A">
              <w:rPr>
                <w:color w:val="000000"/>
                <w:sz w:val="20"/>
                <w:szCs w:val="20"/>
              </w:rPr>
              <w:t>1,649</w:t>
            </w:r>
          </w:p>
        </w:tc>
        <w:tc>
          <w:tcPr>
            <w:tcW w:w="50" w:type="pct"/>
            <w:noWrap/>
            <w:tcMar>
              <w:top w:w="5" w:type="dxa"/>
              <w:left w:w="5" w:type="dxa"/>
              <w:bottom w:w="5" w:type="dxa"/>
              <w:right w:w="5" w:type="dxa"/>
            </w:tcMar>
            <w:vAlign w:val="bottom"/>
            <w:hideMark/>
          </w:tcPr>
          <w:p w14:paraId="1085B18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3F97A3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4D168F7"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30B4AA5E" w14:textId="77777777" w:rsidR="00C820B8" w:rsidRPr="0064652A" w:rsidRDefault="008D7FC6">
            <w:pPr>
              <w:jc w:val="right"/>
              <w:rPr>
                <w:color w:val="000000"/>
                <w:sz w:val="20"/>
                <w:szCs w:val="20"/>
              </w:rPr>
            </w:pPr>
            <w:r w:rsidRPr="0064652A">
              <w:rPr>
                <w:color w:val="000000"/>
                <w:sz w:val="20"/>
                <w:szCs w:val="20"/>
              </w:rPr>
              <w:t>(1,471</w:t>
            </w:r>
          </w:p>
        </w:tc>
        <w:tc>
          <w:tcPr>
            <w:tcW w:w="50" w:type="pct"/>
            <w:noWrap/>
            <w:tcMar>
              <w:top w:w="5" w:type="dxa"/>
              <w:left w:w="5" w:type="dxa"/>
              <w:bottom w:w="5" w:type="dxa"/>
              <w:right w:w="5" w:type="dxa"/>
            </w:tcMar>
            <w:vAlign w:val="bottom"/>
            <w:hideMark/>
          </w:tcPr>
          <w:p w14:paraId="1DF89B70" w14:textId="77777777" w:rsidR="00C820B8" w:rsidRPr="0064652A" w:rsidRDefault="008D7FC6">
            <w:pPr>
              <w:rPr>
                <w:color w:val="000000"/>
                <w:sz w:val="20"/>
                <w:szCs w:val="20"/>
              </w:rPr>
            </w:pPr>
            <w:r w:rsidRPr="0064652A">
              <w:rPr>
                <w:color w:val="000000"/>
                <w:sz w:val="20"/>
                <w:szCs w:val="20"/>
              </w:rPr>
              <w:t>)</w:t>
            </w:r>
          </w:p>
        </w:tc>
      </w:tr>
      <w:tr w:rsidR="00C820B8" w:rsidRPr="0064652A" w14:paraId="1DEB874B" w14:textId="77777777">
        <w:tc>
          <w:tcPr>
            <w:tcW w:w="0" w:type="auto"/>
            <w:tcMar>
              <w:top w:w="5" w:type="dxa"/>
              <w:left w:w="5" w:type="dxa"/>
              <w:bottom w:w="5" w:type="dxa"/>
              <w:right w:w="5" w:type="dxa"/>
            </w:tcMar>
            <w:vAlign w:val="bottom"/>
            <w:hideMark/>
          </w:tcPr>
          <w:p w14:paraId="0D78946F" w14:textId="77777777" w:rsidR="00C820B8" w:rsidRPr="0064652A" w:rsidRDefault="008D7FC6">
            <w:pPr>
              <w:ind w:left="180"/>
              <w:rPr>
                <w:color w:val="000000"/>
                <w:sz w:val="20"/>
                <w:szCs w:val="20"/>
              </w:rPr>
            </w:pPr>
            <w:r w:rsidRPr="0064652A">
              <w:rPr>
                <w:color w:val="000000"/>
                <w:sz w:val="20"/>
                <w:szCs w:val="20"/>
              </w:rPr>
              <w:t>Adjustments to reconcile net income (loss) to net cash (used) by operating activities:</w:t>
            </w:r>
          </w:p>
        </w:tc>
        <w:tc>
          <w:tcPr>
            <w:tcW w:w="0" w:type="auto"/>
            <w:tcMar>
              <w:top w:w="5" w:type="dxa"/>
              <w:left w:w="5" w:type="dxa"/>
              <w:bottom w:w="5" w:type="dxa"/>
              <w:right w:w="5" w:type="dxa"/>
            </w:tcMar>
            <w:vAlign w:val="bottom"/>
            <w:hideMark/>
          </w:tcPr>
          <w:p w14:paraId="65E3108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2FD2F2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607DD6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6C50B77"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055884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C5AFB6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96B0A1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A6FCBD6" w14:textId="77777777" w:rsidR="00C820B8" w:rsidRPr="0064652A" w:rsidRDefault="008D7FC6">
            <w:pPr>
              <w:rPr>
                <w:color w:val="000000"/>
                <w:sz w:val="20"/>
                <w:szCs w:val="20"/>
              </w:rPr>
            </w:pPr>
            <w:r w:rsidRPr="0064652A">
              <w:rPr>
                <w:color w:val="000000"/>
                <w:sz w:val="20"/>
                <w:szCs w:val="20"/>
              </w:rPr>
              <w:t> </w:t>
            </w:r>
          </w:p>
        </w:tc>
      </w:tr>
      <w:tr w:rsidR="00C820B8" w:rsidRPr="0064652A" w14:paraId="190F850E" w14:textId="77777777">
        <w:tc>
          <w:tcPr>
            <w:tcW w:w="0" w:type="auto"/>
            <w:tcMar>
              <w:top w:w="5" w:type="dxa"/>
              <w:left w:w="5" w:type="dxa"/>
              <w:bottom w:w="5" w:type="dxa"/>
              <w:right w:w="5" w:type="dxa"/>
            </w:tcMar>
            <w:vAlign w:val="bottom"/>
            <w:hideMark/>
          </w:tcPr>
          <w:p w14:paraId="6FB204B6" w14:textId="77777777" w:rsidR="00C820B8" w:rsidRPr="0064652A" w:rsidRDefault="008D7FC6">
            <w:pPr>
              <w:ind w:left="540"/>
              <w:rPr>
                <w:color w:val="000000"/>
                <w:sz w:val="20"/>
                <w:szCs w:val="20"/>
              </w:rPr>
            </w:pPr>
            <w:r w:rsidRPr="0064652A">
              <w:rPr>
                <w:color w:val="000000"/>
                <w:sz w:val="20"/>
                <w:szCs w:val="20"/>
              </w:rPr>
              <w:t>Amortization of right-of-use assets</w:t>
            </w:r>
          </w:p>
        </w:tc>
        <w:tc>
          <w:tcPr>
            <w:tcW w:w="50" w:type="pct"/>
            <w:tcMar>
              <w:top w:w="5" w:type="dxa"/>
              <w:left w:w="5" w:type="dxa"/>
              <w:bottom w:w="5" w:type="dxa"/>
              <w:right w:w="5" w:type="dxa"/>
            </w:tcMar>
            <w:vAlign w:val="bottom"/>
            <w:hideMark/>
          </w:tcPr>
          <w:p w14:paraId="1B6BAA5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C736929"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42960649" w14:textId="77777777" w:rsidR="00C820B8" w:rsidRPr="0064652A" w:rsidRDefault="008D7FC6">
            <w:pPr>
              <w:jc w:val="right"/>
              <w:rPr>
                <w:color w:val="000000"/>
                <w:sz w:val="20"/>
                <w:szCs w:val="20"/>
              </w:rPr>
            </w:pPr>
            <w:r w:rsidRPr="0064652A">
              <w:rPr>
                <w:color w:val="000000"/>
                <w:sz w:val="20"/>
                <w:szCs w:val="20"/>
              </w:rPr>
              <w:t>121</w:t>
            </w:r>
          </w:p>
        </w:tc>
        <w:tc>
          <w:tcPr>
            <w:tcW w:w="50" w:type="pct"/>
            <w:noWrap/>
            <w:tcMar>
              <w:top w:w="5" w:type="dxa"/>
              <w:left w:w="5" w:type="dxa"/>
              <w:bottom w:w="5" w:type="dxa"/>
              <w:right w:w="5" w:type="dxa"/>
            </w:tcMar>
            <w:vAlign w:val="bottom"/>
            <w:hideMark/>
          </w:tcPr>
          <w:p w14:paraId="107C07C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143D87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2D3AE96"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2DDD7F2B" w14:textId="77777777" w:rsidR="00C820B8" w:rsidRPr="0064652A" w:rsidRDefault="008D7FC6">
            <w:pPr>
              <w:jc w:val="right"/>
              <w:rPr>
                <w:color w:val="000000"/>
                <w:sz w:val="20"/>
                <w:szCs w:val="20"/>
              </w:rPr>
            </w:pPr>
            <w:r w:rsidRPr="0064652A">
              <w:rPr>
                <w:color w:val="000000"/>
                <w:sz w:val="20"/>
                <w:szCs w:val="20"/>
              </w:rPr>
              <w:t>159</w:t>
            </w:r>
          </w:p>
        </w:tc>
        <w:tc>
          <w:tcPr>
            <w:tcW w:w="50" w:type="pct"/>
            <w:noWrap/>
            <w:tcMar>
              <w:top w:w="5" w:type="dxa"/>
              <w:left w:w="5" w:type="dxa"/>
              <w:bottom w:w="5" w:type="dxa"/>
              <w:right w:w="5" w:type="dxa"/>
            </w:tcMar>
            <w:vAlign w:val="bottom"/>
            <w:hideMark/>
          </w:tcPr>
          <w:p w14:paraId="25646F53" w14:textId="77777777" w:rsidR="00C820B8" w:rsidRPr="0064652A" w:rsidRDefault="008D7FC6">
            <w:pPr>
              <w:rPr>
                <w:color w:val="000000"/>
                <w:sz w:val="20"/>
                <w:szCs w:val="20"/>
              </w:rPr>
            </w:pPr>
            <w:r w:rsidRPr="0064652A">
              <w:rPr>
                <w:color w:val="000000"/>
                <w:sz w:val="20"/>
                <w:szCs w:val="20"/>
              </w:rPr>
              <w:t> </w:t>
            </w:r>
          </w:p>
        </w:tc>
      </w:tr>
      <w:tr w:rsidR="00C820B8" w:rsidRPr="0064652A" w14:paraId="0401949A" w14:textId="77777777">
        <w:tc>
          <w:tcPr>
            <w:tcW w:w="0" w:type="auto"/>
            <w:tcMar>
              <w:top w:w="5" w:type="dxa"/>
              <w:left w:w="5" w:type="dxa"/>
              <w:bottom w:w="5" w:type="dxa"/>
              <w:right w:w="5" w:type="dxa"/>
            </w:tcMar>
            <w:vAlign w:val="bottom"/>
            <w:hideMark/>
          </w:tcPr>
          <w:p w14:paraId="03702745" w14:textId="77777777" w:rsidR="00C820B8" w:rsidRPr="0064652A" w:rsidRDefault="008D7FC6">
            <w:pPr>
              <w:ind w:left="540"/>
              <w:rPr>
                <w:color w:val="000000"/>
                <w:sz w:val="20"/>
                <w:szCs w:val="20"/>
              </w:rPr>
            </w:pPr>
            <w:r w:rsidRPr="0064652A">
              <w:rPr>
                <w:color w:val="000000"/>
                <w:sz w:val="20"/>
                <w:szCs w:val="20"/>
              </w:rPr>
              <w:t>Depreciation and amortization</w:t>
            </w:r>
          </w:p>
        </w:tc>
        <w:tc>
          <w:tcPr>
            <w:tcW w:w="50" w:type="pct"/>
            <w:tcMar>
              <w:top w:w="5" w:type="dxa"/>
              <w:left w:w="5" w:type="dxa"/>
              <w:bottom w:w="5" w:type="dxa"/>
              <w:right w:w="5" w:type="dxa"/>
            </w:tcMar>
            <w:vAlign w:val="bottom"/>
            <w:hideMark/>
          </w:tcPr>
          <w:p w14:paraId="009F2E3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5BDA3C6"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740E1AD" w14:textId="77777777" w:rsidR="00C820B8" w:rsidRPr="0064652A" w:rsidRDefault="008D7FC6">
            <w:pPr>
              <w:jc w:val="right"/>
              <w:rPr>
                <w:color w:val="000000"/>
                <w:sz w:val="20"/>
                <w:szCs w:val="20"/>
              </w:rPr>
            </w:pPr>
            <w:r w:rsidRPr="0064652A">
              <w:rPr>
                <w:color w:val="000000"/>
                <w:sz w:val="20"/>
                <w:szCs w:val="20"/>
              </w:rPr>
              <w:t>17</w:t>
            </w:r>
          </w:p>
        </w:tc>
        <w:tc>
          <w:tcPr>
            <w:tcW w:w="50" w:type="pct"/>
            <w:noWrap/>
            <w:tcMar>
              <w:top w:w="5" w:type="dxa"/>
              <w:left w:w="5" w:type="dxa"/>
              <w:bottom w:w="5" w:type="dxa"/>
              <w:right w:w="5" w:type="dxa"/>
            </w:tcMar>
            <w:vAlign w:val="bottom"/>
            <w:hideMark/>
          </w:tcPr>
          <w:p w14:paraId="5F1E5F1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B3407B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619076C"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93E6B17"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3A9F1551" w14:textId="77777777" w:rsidR="00C820B8" w:rsidRPr="0064652A" w:rsidRDefault="008D7FC6">
            <w:pPr>
              <w:rPr>
                <w:color w:val="000000"/>
                <w:sz w:val="20"/>
                <w:szCs w:val="20"/>
              </w:rPr>
            </w:pPr>
            <w:r w:rsidRPr="0064652A">
              <w:rPr>
                <w:color w:val="000000"/>
                <w:sz w:val="20"/>
                <w:szCs w:val="20"/>
              </w:rPr>
              <w:t> </w:t>
            </w:r>
          </w:p>
        </w:tc>
      </w:tr>
      <w:tr w:rsidR="00C820B8" w:rsidRPr="0064652A" w14:paraId="64A8BE4D" w14:textId="77777777">
        <w:tc>
          <w:tcPr>
            <w:tcW w:w="0" w:type="auto"/>
            <w:tcMar>
              <w:top w:w="5" w:type="dxa"/>
              <w:left w:w="5" w:type="dxa"/>
              <w:bottom w:w="5" w:type="dxa"/>
              <w:right w:w="5" w:type="dxa"/>
            </w:tcMar>
            <w:vAlign w:val="bottom"/>
            <w:hideMark/>
          </w:tcPr>
          <w:p w14:paraId="4BAE990F" w14:textId="77777777" w:rsidR="00C820B8" w:rsidRPr="0064652A" w:rsidRDefault="008D7FC6">
            <w:pPr>
              <w:ind w:left="540"/>
              <w:rPr>
                <w:color w:val="000000"/>
                <w:sz w:val="20"/>
                <w:szCs w:val="20"/>
              </w:rPr>
            </w:pPr>
            <w:r w:rsidRPr="0064652A">
              <w:rPr>
                <w:color w:val="000000"/>
                <w:sz w:val="20"/>
                <w:szCs w:val="20"/>
              </w:rPr>
              <w:t>Asset valuation allowance</w:t>
            </w:r>
          </w:p>
        </w:tc>
        <w:tc>
          <w:tcPr>
            <w:tcW w:w="50" w:type="pct"/>
            <w:tcMar>
              <w:top w:w="5" w:type="dxa"/>
              <w:left w:w="5" w:type="dxa"/>
              <w:bottom w:w="5" w:type="dxa"/>
              <w:right w:w="5" w:type="dxa"/>
            </w:tcMar>
            <w:vAlign w:val="bottom"/>
            <w:hideMark/>
          </w:tcPr>
          <w:p w14:paraId="0432A85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67208C6"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7FC7599C" w14:textId="77777777" w:rsidR="00C820B8" w:rsidRPr="0064652A" w:rsidRDefault="008D7FC6">
            <w:pPr>
              <w:jc w:val="right"/>
              <w:rPr>
                <w:color w:val="000000"/>
                <w:sz w:val="20"/>
                <w:szCs w:val="20"/>
              </w:rPr>
            </w:pPr>
            <w:r w:rsidRPr="0064652A">
              <w:rPr>
                <w:color w:val="000000"/>
                <w:sz w:val="20"/>
                <w:szCs w:val="20"/>
              </w:rPr>
              <w:t>64</w:t>
            </w:r>
          </w:p>
        </w:tc>
        <w:tc>
          <w:tcPr>
            <w:tcW w:w="50" w:type="pct"/>
            <w:noWrap/>
            <w:tcMar>
              <w:top w:w="5" w:type="dxa"/>
              <w:left w:w="5" w:type="dxa"/>
              <w:bottom w:w="5" w:type="dxa"/>
              <w:right w:w="5" w:type="dxa"/>
            </w:tcMar>
            <w:vAlign w:val="bottom"/>
            <w:hideMark/>
          </w:tcPr>
          <w:p w14:paraId="1DC5B30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471E90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105E1C6"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9B34B29" w14:textId="77777777" w:rsidR="00C820B8" w:rsidRPr="0064652A" w:rsidRDefault="008D7FC6">
            <w:pPr>
              <w:jc w:val="right"/>
              <w:rPr>
                <w:color w:val="000000"/>
                <w:sz w:val="20"/>
                <w:szCs w:val="20"/>
              </w:rPr>
            </w:pPr>
            <w:r w:rsidRPr="0064652A">
              <w:rPr>
                <w:color w:val="000000"/>
                <w:sz w:val="20"/>
                <w:szCs w:val="20"/>
              </w:rPr>
              <w:t>39</w:t>
            </w:r>
          </w:p>
        </w:tc>
        <w:tc>
          <w:tcPr>
            <w:tcW w:w="50" w:type="pct"/>
            <w:noWrap/>
            <w:tcMar>
              <w:top w:w="5" w:type="dxa"/>
              <w:left w:w="5" w:type="dxa"/>
              <w:bottom w:w="5" w:type="dxa"/>
              <w:right w:w="5" w:type="dxa"/>
            </w:tcMar>
            <w:vAlign w:val="bottom"/>
            <w:hideMark/>
          </w:tcPr>
          <w:p w14:paraId="2E5742C1" w14:textId="77777777" w:rsidR="00C820B8" w:rsidRPr="0064652A" w:rsidRDefault="008D7FC6">
            <w:pPr>
              <w:rPr>
                <w:color w:val="000000"/>
                <w:sz w:val="20"/>
                <w:szCs w:val="20"/>
              </w:rPr>
            </w:pPr>
            <w:r w:rsidRPr="0064652A">
              <w:rPr>
                <w:color w:val="000000"/>
                <w:sz w:val="20"/>
                <w:szCs w:val="20"/>
              </w:rPr>
              <w:t> </w:t>
            </w:r>
          </w:p>
        </w:tc>
      </w:tr>
      <w:tr w:rsidR="00C820B8" w:rsidRPr="0064652A" w14:paraId="4D700AEA" w14:textId="77777777">
        <w:tc>
          <w:tcPr>
            <w:tcW w:w="0" w:type="auto"/>
            <w:tcMar>
              <w:top w:w="5" w:type="dxa"/>
              <w:left w:w="5" w:type="dxa"/>
              <w:bottom w:w="5" w:type="dxa"/>
              <w:right w:w="5" w:type="dxa"/>
            </w:tcMar>
            <w:vAlign w:val="bottom"/>
            <w:hideMark/>
          </w:tcPr>
          <w:p w14:paraId="38998829" w14:textId="77777777" w:rsidR="00C820B8" w:rsidRPr="0064652A" w:rsidRDefault="008D7FC6">
            <w:pPr>
              <w:ind w:left="540"/>
              <w:rPr>
                <w:color w:val="000000"/>
                <w:sz w:val="20"/>
                <w:szCs w:val="20"/>
              </w:rPr>
            </w:pPr>
            <w:r w:rsidRPr="0064652A">
              <w:rPr>
                <w:color w:val="000000"/>
                <w:sz w:val="20"/>
                <w:szCs w:val="20"/>
              </w:rPr>
              <w:t>Changes in assets and liabilities:</w:t>
            </w:r>
          </w:p>
        </w:tc>
        <w:tc>
          <w:tcPr>
            <w:tcW w:w="0" w:type="auto"/>
            <w:tcMar>
              <w:top w:w="5" w:type="dxa"/>
              <w:left w:w="5" w:type="dxa"/>
              <w:bottom w:w="5" w:type="dxa"/>
              <w:right w:w="5" w:type="dxa"/>
            </w:tcMar>
            <w:vAlign w:val="bottom"/>
            <w:hideMark/>
          </w:tcPr>
          <w:p w14:paraId="75094DD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0FCB6E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A01AEE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DA0D9B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ECC630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1FEA89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196FF3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8CA2166" w14:textId="77777777" w:rsidR="00C820B8" w:rsidRPr="0064652A" w:rsidRDefault="008D7FC6">
            <w:pPr>
              <w:rPr>
                <w:color w:val="000000"/>
                <w:sz w:val="20"/>
                <w:szCs w:val="20"/>
              </w:rPr>
            </w:pPr>
            <w:r w:rsidRPr="0064652A">
              <w:rPr>
                <w:color w:val="000000"/>
                <w:sz w:val="20"/>
                <w:szCs w:val="20"/>
              </w:rPr>
              <w:t> </w:t>
            </w:r>
          </w:p>
        </w:tc>
      </w:tr>
      <w:tr w:rsidR="00C820B8" w:rsidRPr="0064652A" w14:paraId="50B5650B" w14:textId="77777777">
        <w:tc>
          <w:tcPr>
            <w:tcW w:w="0" w:type="auto"/>
            <w:tcMar>
              <w:top w:w="5" w:type="dxa"/>
              <w:left w:w="5" w:type="dxa"/>
              <w:bottom w:w="5" w:type="dxa"/>
              <w:right w:w="5" w:type="dxa"/>
            </w:tcMar>
            <w:vAlign w:val="bottom"/>
            <w:hideMark/>
          </w:tcPr>
          <w:p w14:paraId="5E5F8A13" w14:textId="77777777" w:rsidR="00C820B8" w:rsidRPr="0064652A" w:rsidRDefault="008D7FC6">
            <w:pPr>
              <w:ind w:left="720"/>
              <w:rPr>
                <w:color w:val="000000"/>
                <w:sz w:val="20"/>
                <w:szCs w:val="20"/>
              </w:rPr>
            </w:pPr>
            <w:r w:rsidRPr="0064652A">
              <w:rPr>
                <w:color w:val="000000"/>
                <w:sz w:val="20"/>
                <w:szCs w:val="20"/>
              </w:rPr>
              <w:t>Accounts receivable</w:t>
            </w:r>
          </w:p>
        </w:tc>
        <w:tc>
          <w:tcPr>
            <w:tcW w:w="50" w:type="pct"/>
            <w:tcMar>
              <w:top w:w="5" w:type="dxa"/>
              <w:left w:w="5" w:type="dxa"/>
              <w:bottom w:w="5" w:type="dxa"/>
              <w:right w:w="5" w:type="dxa"/>
            </w:tcMar>
            <w:vAlign w:val="bottom"/>
            <w:hideMark/>
          </w:tcPr>
          <w:p w14:paraId="1240D74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C900A4C"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CE7EC57" w14:textId="77777777" w:rsidR="00C820B8" w:rsidRPr="0064652A" w:rsidRDefault="008D7FC6">
            <w:pPr>
              <w:jc w:val="right"/>
              <w:rPr>
                <w:color w:val="000000"/>
                <w:sz w:val="20"/>
                <w:szCs w:val="20"/>
              </w:rPr>
            </w:pPr>
            <w:r w:rsidRPr="0064652A">
              <w:rPr>
                <w:color w:val="000000"/>
                <w:sz w:val="20"/>
                <w:szCs w:val="20"/>
              </w:rPr>
              <w:t>14</w:t>
            </w:r>
          </w:p>
        </w:tc>
        <w:tc>
          <w:tcPr>
            <w:tcW w:w="50" w:type="pct"/>
            <w:noWrap/>
            <w:tcMar>
              <w:top w:w="5" w:type="dxa"/>
              <w:left w:w="5" w:type="dxa"/>
              <w:bottom w:w="5" w:type="dxa"/>
              <w:right w:w="5" w:type="dxa"/>
            </w:tcMar>
            <w:vAlign w:val="bottom"/>
            <w:hideMark/>
          </w:tcPr>
          <w:p w14:paraId="08627A3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4F70A5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45553B9"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879B40D" w14:textId="77777777" w:rsidR="00C820B8" w:rsidRPr="0064652A" w:rsidRDefault="008D7FC6">
            <w:pPr>
              <w:jc w:val="right"/>
              <w:rPr>
                <w:color w:val="000000"/>
                <w:sz w:val="20"/>
                <w:szCs w:val="20"/>
              </w:rPr>
            </w:pPr>
            <w:r w:rsidRPr="0064652A">
              <w:rPr>
                <w:color w:val="000000"/>
                <w:sz w:val="20"/>
                <w:szCs w:val="20"/>
              </w:rPr>
              <w:t>328</w:t>
            </w:r>
          </w:p>
        </w:tc>
        <w:tc>
          <w:tcPr>
            <w:tcW w:w="50" w:type="pct"/>
            <w:noWrap/>
            <w:tcMar>
              <w:top w:w="5" w:type="dxa"/>
              <w:left w:w="5" w:type="dxa"/>
              <w:bottom w:w="5" w:type="dxa"/>
              <w:right w:w="5" w:type="dxa"/>
            </w:tcMar>
            <w:vAlign w:val="bottom"/>
            <w:hideMark/>
          </w:tcPr>
          <w:p w14:paraId="1FFD3A61" w14:textId="77777777" w:rsidR="00C820B8" w:rsidRPr="0064652A" w:rsidRDefault="008D7FC6">
            <w:pPr>
              <w:rPr>
                <w:color w:val="000000"/>
                <w:sz w:val="20"/>
                <w:szCs w:val="20"/>
              </w:rPr>
            </w:pPr>
            <w:r w:rsidRPr="0064652A">
              <w:rPr>
                <w:color w:val="000000"/>
                <w:sz w:val="20"/>
                <w:szCs w:val="20"/>
              </w:rPr>
              <w:t> </w:t>
            </w:r>
          </w:p>
        </w:tc>
      </w:tr>
      <w:tr w:rsidR="00C820B8" w:rsidRPr="0064652A" w14:paraId="4377F4AB" w14:textId="77777777">
        <w:tc>
          <w:tcPr>
            <w:tcW w:w="0" w:type="auto"/>
            <w:tcMar>
              <w:top w:w="5" w:type="dxa"/>
              <w:left w:w="5" w:type="dxa"/>
              <w:bottom w:w="5" w:type="dxa"/>
              <w:right w:w="5" w:type="dxa"/>
            </w:tcMar>
            <w:vAlign w:val="bottom"/>
            <w:hideMark/>
          </w:tcPr>
          <w:p w14:paraId="59F22D9D" w14:textId="77777777" w:rsidR="00C820B8" w:rsidRPr="0064652A" w:rsidRDefault="008D7FC6">
            <w:pPr>
              <w:ind w:firstLine="720"/>
              <w:rPr>
                <w:color w:val="000000"/>
                <w:sz w:val="20"/>
                <w:szCs w:val="20"/>
              </w:rPr>
            </w:pPr>
            <w:r w:rsidRPr="0064652A">
              <w:rPr>
                <w:color w:val="000000"/>
                <w:sz w:val="20"/>
                <w:szCs w:val="20"/>
              </w:rPr>
              <w:t>Licensing receivable</w:t>
            </w:r>
          </w:p>
        </w:tc>
        <w:tc>
          <w:tcPr>
            <w:tcW w:w="50" w:type="pct"/>
            <w:tcMar>
              <w:top w:w="5" w:type="dxa"/>
              <w:left w:w="5" w:type="dxa"/>
              <w:bottom w:w="5" w:type="dxa"/>
              <w:right w:w="5" w:type="dxa"/>
            </w:tcMar>
            <w:vAlign w:val="bottom"/>
            <w:hideMark/>
          </w:tcPr>
          <w:p w14:paraId="3ACCB8F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AE11999"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89FE711" w14:textId="77777777" w:rsidR="00C820B8" w:rsidRPr="0064652A" w:rsidRDefault="008D7FC6">
            <w:pPr>
              <w:jc w:val="right"/>
              <w:rPr>
                <w:color w:val="000000"/>
                <w:sz w:val="20"/>
                <w:szCs w:val="20"/>
              </w:rPr>
            </w:pPr>
            <w:r w:rsidRPr="0064652A">
              <w:rPr>
                <w:color w:val="000000"/>
                <w:sz w:val="20"/>
                <w:szCs w:val="20"/>
              </w:rPr>
              <w:t>17</w:t>
            </w:r>
          </w:p>
        </w:tc>
        <w:tc>
          <w:tcPr>
            <w:tcW w:w="50" w:type="pct"/>
            <w:noWrap/>
            <w:tcMar>
              <w:top w:w="5" w:type="dxa"/>
              <w:left w:w="5" w:type="dxa"/>
              <w:bottom w:w="5" w:type="dxa"/>
              <w:right w:w="5" w:type="dxa"/>
            </w:tcMar>
            <w:vAlign w:val="bottom"/>
            <w:hideMark/>
          </w:tcPr>
          <w:p w14:paraId="79701A8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CB7162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6D96693"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D410D24" w14:textId="77777777" w:rsidR="00C820B8" w:rsidRPr="0064652A" w:rsidRDefault="008D7FC6">
            <w:pPr>
              <w:jc w:val="right"/>
              <w:rPr>
                <w:color w:val="000000"/>
                <w:sz w:val="20"/>
                <w:szCs w:val="20"/>
              </w:rPr>
            </w:pPr>
            <w:r w:rsidRPr="0064652A">
              <w:rPr>
                <w:color w:val="000000"/>
                <w:sz w:val="20"/>
                <w:szCs w:val="20"/>
              </w:rPr>
              <w:t>(191</w:t>
            </w:r>
          </w:p>
        </w:tc>
        <w:tc>
          <w:tcPr>
            <w:tcW w:w="50" w:type="pct"/>
            <w:noWrap/>
            <w:tcMar>
              <w:top w:w="5" w:type="dxa"/>
              <w:left w:w="5" w:type="dxa"/>
              <w:bottom w:w="5" w:type="dxa"/>
              <w:right w:w="5" w:type="dxa"/>
            </w:tcMar>
            <w:vAlign w:val="bottom"/>
            <w:hideMark/>
          </w:tcPr>
          <w:p w14:paraId="13A1DBBF" w14:textId="77777777" w:rsidR="00C820B8" w:rsidRPr="0064652A" w:rsidRDefault="008D7FC6">
            <w:pPr>
              <w:rPr>
                <w:color w:val="000000"/>
                <w:sz w:val="20"/>
                <w:szCs w:val="20"/>
              </w:rPr>
            </w:pPr>
            <w:r w:rsidRPr="0064652A">
              <w:rPr>
                <w:color w:val="000000"/>
                <w:sz w:val="20"/>
                <w:szCs w:val="20"/>
              </w:rPr>
              <w:t>)</w:t>
            </w:r>
          </w:p>
        </w:tc>
      </w:tr>
      <w:tr w:rsidR="00C820B8" w:rsidRPr="0064652A" w14:paraId="59C3FA05" w14:textId="77777777">
        <w:tc>
          <w:tcPr>
            <w:tcW w:w="0" w:type="auto"/>
            <w:tcMar>
              <w:top w:w="5" w:type="dxa"/>
              <w:left w:w="5" w:type="dxa"/>
              <w:bottom w:w="5" w:type="dxa"/>
              <w:right w:w="5" w:type="dxa"/>
            </w:tcMar>
            <w:vAlign w:val="bottom"/>
            <w:hideMark/>
          </w:tcPr>
          <w:p w14:paraId="6BF22C7E" w14:textId="77777777" w:rsidR="00C820B8" w:rsidRPr="0064652A" w:rsidRDefault="008D7FC6">
            <w:pPr>
              <w:ind w:left="720"/>
              <w:rPr>
                <w:color w:val="000000"/>
                <w:sz w:val="20"/>
                <w:szCs w:val="20"/>
              </w:rPr>
            </w:pPr>
            <w:r w:rsidRPr="0064652A">
              <w:rPr>
                <w:color w:val="000000"/>
                <w:sz w:val="20"/>
                <w:szCs w:val="20"/>
              </w:rPr>
              <w:t>Inventory</w:t>
            </w:r>
          </w:p>
        </w:tc>
        <w:tc>
          <w:tcPr>
            <w:tcW w:w="50" w:type="pct"/>
            <w:tcMar>
              <w:top w:w="5" w:type="dxa"/>
              <w:left w:w="5" w:type="dxa"/>
              <w:bottom w:w="5" w:type="dxa"/>
              <w:right w:w="5" w:type="dxa"/>
            </w:tcMar>
            <w:vAlign w:val="bottom"/>
            <w:hideMark/>
          </w:tcPr>
          <w:p w14:paraId="44A1DEF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0F2EFD0"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2E6C8BE" w14:textId="77777777" w:rsidR="00C820B8" w:rsidRPr="0064652A" w:rsidRDefault="008D7FC6">
            <w:pPr>
              <w:jc w:val="right"/>
              <w:rPr>
                <w:color w:val="000000"/>
                <w:sz w:val="20"/>
                <w:szCs w:val="20"/>
              </w:rPr>
            </w:pPr>
            <w:r w:rsidRPr="0064652A">
              <w:rPr>
                <w:color w:val="000000"/>
                <w:sz w:val="20"/>
                <w:szCs w:val="20"/>
              </w:rPr>
              <w:t>(1,948</w:t>
            </w:r>
          </w:p>
        </w:tc>
        <w:tc>
          <w:tcPr>
            <w:tcW w:w="50" w:type="pct"/>
            <w:noWrap/>
            <w:tcMar>
              <w:top w:w="5" w:type="dxa"/>
              <w:left w:w="5" w:type="dxa"/>
              <w:bottom w:w="5" w:type="dxa"/>
              <w:right w:w="5" w:type="dxa"/>
            </w:tcMar>
            <w:vAlign w:val="bottom"/>
            <w:hideMark/>
          </w:tcPr>
          <w:p w14:paraId="7AAFF41E"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4B350D9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D57733C"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2EEC97AB" w14:textId="77777777" w:rsidR="00C820B8" w:rsidRPr="0064652A" w:rsidRDefault="008D7FC6">
            <w:pPr>
              <w:jc w:val="right"/>
              <w:rPr>
                <w:color w:val="000000"/>
                <w:sz w:val="20"/>
                <w:szCs w:val="20"/>
              </w:rPr>
            </w:pPr>
            <w:r w:rsidRPr="0064652A">
              <w:rPr>
                <w:color w:val="000000"/>
                <w:sz w:val="20"/>
                <w:szCs w:val="20"/>
              </w:rPr>
              <w:t>(233</w:t>
            </w:r>
          </w:p>
        </w:tc>
        <w:tc>
          <w:tcPr>
            <w:tcW w:w="50" w:type="pct"/>
            <w:noWrap/>
            <w:tcMar>
              <w:top w:w="5" w:type="dxa"/>
              <w:left w:w="5" w:type="dxa"/>
              <w:bottom w:w="5" w:type="dxa"/>
              <w:right w:w="5" w:type="dxa"/>
            </w:tcMar>
            <w:vAlign w:val="bottom"/>
            <w:hideMark/>
          </w:tcPr>
          <w:p w14:paraId="458350EA" w14:textId="77777777" w:rsidR="00C820B8" w:rsidRPr="0064652A" w:rsidRDefault="008D7FC6">
            <w:pPr>
              <w:rPr>
                <w:color w:val="000000"/>
                <w:sz w:val="20"/>
                <w:szCs w:val="20"/>
              </w:rPr>
            </w:pPr>
            <w:r w:rsidRPr="0064652A">
              <w:rPr>
                <w:color w:val="000000"/>
                <w:sz w:val="20"/>
                <w:szCs w:val="20"/>
              </w:rPr>
              <w:t>)</w:t>
            </w:r>
          </w:p>
        </w:tc>
      </w:tr>
      <w:tr w:rsidR="00C820B8" w:rsidRPr="0064652A" w14:paraId="15C455C7" w14:textId="77777777">
        <w:tc>
          <w:tcPr>
            <w:tcW w:w="0" w:type="auto"/>
            <w:tcMar>
              <w:top w:w="5" w:type="dxa"/>
              <w:left w:w="5" w:type="dxa"/>
              <w:bottom w:w="5" w:type="dxa"/>
              <w:right w:w="5" w:type="dxa"/>
            </w:tcMar>
            <w:vAlign w:val="bottom"/>
            <w:hideMark/>
          </w:tcPr>
          <w:p w14:paraId="4E5B89ED" w14:textId="77777777" w:rsidR="00C820B8" w:rsidRPr="0064652A" w:rsidRDefault="008D7FC6">
            <w:pPr>
              <w:ind w:left="720"/>
              <w:rPr>
                <w:color w:val="000000"/>
                <w:sz w:val="20"/>
                <w:szCs w:val="20"/>
              </w:rPr>
            </w:pPr>
            <w:r w:rsidRPr="0064652A">
              <w:rPr>
                <w:color w:val="000000"/>
                <w:sz w:val="20"/>
                <w:szCs w:val="20"/>
              </w:rPr>
              <w:t>Prepaid purchases</w:t>
            </w:r>
          </w:p>
        </w:tc>
        <w:tc>
          <w:tcPr>
            <w:tcW w:w="50" w:type="pct"/>
            <w:tcMar>
              <w:top w:w="5" w:type="dxa"/>
              <w:left w:w="5" w:type="dxa"/>
              <w:bottom w:w="5" w:type="dxa"/>
              <w:right w:w="5" w:type="dxa"/>
            </w:tcMar>
            <w:vAlign w:val="bottom"/>
            <w:hideMark/>
          </w:tcPr>
          <w:p w14:paraId="28C7297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B8E379B"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9F827CD" w14:textId="77777777" w:rsidR="00C820B8" w:rsidRPr="0064652A" w:rsidRDefault="008D7FC6">
            <w:pPr>
              <w:jc w:val="right"/>
              <w:rPr>
                <w:color w:val="000000"/>
                <w:sz w:val="20"/>
                <w:szCs w:val="20"/>
              </w:rPr>
            </w:pPr>
            <w:r w:rsidRPr="0064652A">
              <w:rPr>
                <w:color w:val="000000"/>
                <w:sz w:val="20"/>
                <w:szCs w:val="20"/>
              </w:rPr>
              <w:t>110</w:t>
            </w:r>
          </w:p>
        </w:tc>
        <w:tc>
          <w:tcPr>
            <w:tcW w:w="50" w:type="pct"/>
            <w:noWrap/>
            <w:tcMar>
              <w:top w:w="5" w:type="dxa"/>
              <w:left w:w="5" w:type="dxa"/>
              <w:bottom w:w="5" w:type="dxa"/>
              <w:right w:w="5" w:type="dxa"/>
            </w:tcMar>
            <w:vAlign w:val="bottom"/>
            <w:hideMark/>
          </w:tcPr>
          <w:p w14:paraId="601BABE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09F95B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5404A0E"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2E65BF1F" w14:textId="77777777" w:rsidR="00C820B8" w:rsidRPr="0064652A" w:rsidRDefault="008D7FC6">
            <w:pPr>
              <w:jc w:val="right"/>
              <w:rPr>
                <w:color w:val="000000"/>
                <w:sz w:val="20"/>
                <w:szCs w:val="20"/>
              </w:rPr>
            </w:pPr>
            <w:r w:rsidRPr="0064652A">
              <w:rPr>
                <w:color w:val="000000"/>
                <w:sz w:val="20"/>
                <w:szCs w:val="20"/>
              </w:rPr>
              <w:t>(503</w:t>
            </w:r>
          </w:p>
        </w:tc>
        <w:tc>
          <w:tcPr>
            <w:tcW w:w="50" w:type="pct"/>
            <w:noWrap/>
            <w:tcMar>
              <w:top w:w="5" w:type="dxa"/>
              <w:left w:w="5" w:type="dxa"/>
              <w:bottom w:w="5" w:type="dxa"/>
              <w:right w:w="5" w:type="dxa"/>
            </w:tcMar>
            <w:vAlign w:val="bottom"/>
            <w:hideMark/>
          </w:tcPr>
          <w:p w14:paraId="1061DF68" w14:textId="77777777" w:rsidR="00C820B8" w:rsidRPr="0064652A" w:rsidRDefault="008D7FC6">
            <w:pPr>
              <w:rPr>
                <w:color w:val="000000"/>
                <w:sz w:val="20"/>
                <w:szCs w:val="20"/>
              </w:rPr>
            </w:pPr>
            <w:r w:rsidRPr="0064652A">
              <w:rPr>
                <w:color w:val="000000"/>
                <w:sz w:val="20"/>
                <w:szCs w:val="20"/>
              </w:rPr>
              <w:t>)</w:t>
            </w:r>
          </w:p>
        </w:tc>
      </w:tr>
      <w:tr w:rsidR="00C820B8" w:rsidRPr="0064652A" w14:paraId="7AB68DEF" w14:textId="77777777">
        <w:tc>
          <w:tcPr>
            <w:tcW w:w="0" w:type="auto"/>
            <w:tcMar>
              <w:top w:w="5" w:type="dxa"/>
              <w:left w:w="5" w:type="dxa"/>
              <w:bottom w:w="5" w:type="dxa"/>
              <w:right w:w="5" w:type="dxa"/>
            </w:tcMar>
            <w:vAlign w:val="bottom"/>
            <w:hideMark/>
          </w:tcPr>
          <w:p w14:paraId="281B613A" w14:textId="77777777" w:rsidR="00C820B8" w:rsidRPr="0064652A" w:rsidRDefault="008D7FC6">
            <w:pPr>
              <w:ind w:left="720"/>
              <w:rPr>
                <w:color w:val="000000"/>
                <w:sz w:val="20"/>
                <w:szCs w:val="20"/>
              </w:rPr>
            </w:pPr>
            <w:r w:rsidRPr="0064652A">
              <w:rPr>
                <w:color w:val="000000"/>
                <w:sz w:val="20"/>
                <w:szCs w:val="20"/>
              </w:rPr>
              <w:t>Prepaid expenses and other current assets</w:t>
            </w:r>
          </w:p>
        </w:tc>
        <w:tc>
          <w:tcPr>
            <w:tcW w:w="50" w:type="pct"/>
            <w:tcMar>
              <w:top w:w="5" w:type="dxa"/>
              <w:left w:w="5" w:type="dxa"/>
              <w:bottom w:w="5" w:type="dxa"/>
              <w:right w:w="5" w:type="dxa"/>
            </w:tcMar>
            <w:vAlign w:val="bottom"/>
            <w:hideMark/>
          </w:tcPr>
          <w:p w14:paraId="3D6DAEC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3D812A4"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34FF672" w14:textId="77777777" w:rsidR="00C820B8" w:rsidRPr="0064652A" w:rsidRDefault="008D7FC6">
            <w:pPr>
              <w:jc w:val="right"/>
              <w:rPr>
                <w:color w:val="000000"/>
                <w:sz w:val="20"/>
                <w:szCs w:val="20"/>
              </w:rPr>
            </w:pPr>
            <w:r w:rsidRPr="0064652A">
              <w:rPr>
                <w:color w:val="000000"/>
                <w:sz w:val="20"/>
                <w:szCs w:val="20"/>
              </w:rPr>
              <w:t>(7</w:t>
            </w:r>
          </w:p>
        </w:tc>
        <w:tc>
          <w:tcPr>
            <w:tcW w:w="50" w:type="pct"/>
            <w:noWrap/>
            <w:tcMar>
              <w:top w:w="5" w:type="dxa"/>
              <w:left w:w="5" w:type="dxa"/>
              <w:bottom w:w="5" w:type="dxa"/>
              <w:right w:w="5" w:type="dxa"/>
            </w:tcMar>
            <w:vAlign w:val="bottom"/>
            <w:hideMark/>
          </w:tcPr>
          <w:p w14:paraId="2DAE373A"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0F896E5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659AD0F"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950E28D" w14:textId="77777777" w:rsidR="00C820B8" w:rsidRPr="0064652A" w:rsidRDefault="008D7FC6">
            <w:pPr>
              <w:jc w:val="right"/>
              <w:rPr>
                <w:color w:val="000000"/>
                <w:sz w:val="20"/>
                <w:szCs w:val="20"/>
              </w:rPr>
            </w:pPr>
            <w:r w:rsidRPr="0064652A">
              <w:rPr>
                <w:color w:val="000000"/>
                <w:sz w:val="20"/>
                <w:szCs w:val="20"/>
              </w:rPr>
              <w:t>136</w:t>
            </w:r>
          </w:p>
        </w:tc>
        <w:tc>
          <w:tcPr>
            <w:tcW w:w="50" w:type="pct"/>
            <w:noWrap/>
            <w:tcMar>
              <w:top w:w="5" w:type="dxa"/>
              <w:left w:w="5" w:type="dxa"/>
              <w:bottom w:w="5" w:type="dxa"/>
              <w:right w:w="5" w:type="dxa"/>
            </w:tcMar>
            <w:vAlign w:val="bottom"/>
            <w:hideMark/>
          </w:tcPr>
          <w:p w14:paraId="0F102DB7" w14:textId="77777777" w:rsidR="00C820B8" w:rsidRPr="0064652A" w:rsidRDefault="008D7FC6">
            <w:pPr>
              <w:rPr>
                <w:color w:val="000000"/>
                <w:sz w:val="20"/>
                <w:szCs w:val="20"/>
              </w:rPr>
            </w:pPr>
            <w:r w:rsidRPr="0064652A">
              <w:rPr>
                <w:color w:val="000000"/>
                <w:sz w:val="20"/>
                <w:szCs w:val="20"/>
              </w:rPr>
              <w:t> </w:t>
            </w:r>
          </w:p>
        </w:tc>
      </w:tr>
      <w:tr w:rsidR="00C820B8" w:rsidRPr="0064652A" w14:paraId="6BA69BA3" w14:textId="77777777">
        <w:tc>
          <w:tcPr>
            <w:tcW w:w="0" w:type="auto"/>
            <w:tcMar>
              <w:top w:w="5" w:type="dxa"/>
              <w:left w:w="5" w:type="dxa"/>
              <w:bottom w:w="5" w:type="dxa"/>
              <w:right w:w="5" w:type="dxa"/>
            </w:tcMar>
            <w:vAlign w:val="bottom"/>
            <w:hideMark/>
          </w:tcPr>
          <w:p w14:paraId="486FFC77" w14:textId="77777777" w:rsidR="00C820B8" w:rsidRPr="0064652A" w:rsidRDefault="008D7FC6">
            <w:pPr>
              <w:ind w:firstLine="720"/>
              <w:rPr>
                <w:color w:val="000000"/>
                <w:sz w:val="20"/>
                <w:szCs w:val="20"/>
              </w:rPr>
            </w:pPr>
            <w:r w:rsidRPr="0064652A">
              <w:rPr>
                <w:color w:val="000000"/>
                <w:sz w:val="20"/>
                <w:szCs w:val="20"/>
              </w:rPr>
              <w:t>Other assets</w:t>
            </w:r>
          </w:p>
        </w:tc>
        <w:tc>
          <w:tcPr>
            <w:tcW w:w="50" w:type="pct"/>
            <w:tcMar>
              <w:top w:w="5" w:type="dxa"/>
              <w:left w:w="5" w:type="dxa"/>
              <w:bottom w:w="5" w:type="dxa"/>
              <w:right w:w="5" w:type="dxa"/>
            </w:tcMar>
            <w:vAlign w:val="bottom"/>
            <w:hideMark/>
          </w:tcPr>
          <w:p w14:paraId="0B3537C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3A978E7"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79004D1" w14:textId="77777777" w:rsidR="00C820B8" w:rsidRPr="0064652A" w:rsidRDefault="008D7FC6">
            <w:pPr>
              <w:jc w:val="right"/>
              <w:rPr>
                <w:color w:val="000000"/>
                <w:sz w:val="20"/>
                <w:szCs w:val="20"/>
              </w:rPr>
            </w:pPr>
            <w:r w:rsidRPr="0064652A">
              <w:rPr>
                <w:color w:val="000000"/>
                <w:sz w:val="20"/>
                <w:szCs w:val="20"/>
              </w:rPr>
              <w:t>(10</w:t>
            </w:r>
          </w:p>
        </w:tc>
        <w:tc>
          <w:tcPr>
            <w:tcW w:w="50" w:type="pct"/>
            <w:noWrap/>
            <w:tcMar>
              <w:top w:w="5" w:type="dxa"/>
              <w:left w:w="5" w:type="dxa"/>
              <w:bottom w:w="5" w:type="dxa"/>
              <w:right w:w="5" w:type="dxa"/>
            </w:tcMar>
            <w:vAlign w:val="bottom"/>
            <w:hideMark/>
          </w:tcPr>
          <w:p w14:paraId="1B15AA08"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2928C22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BAD5CCA"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4CD6635"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36D6DB44" w14:textId="77777777" w:rsidR="00C820B8" w:rsidRPr="0064652A" w:rsidRDefault="008D7FC6">
            <w:pPr>
              <w:rPr>
                <w:color w:val="000000"/>
                <w:sz w:val="20"/>
                <w:szCs w:val="20"/>
              </w:rPr>
            </w:pPr>
            <w:r w:rsidRPr="0064652A">
              <w:rPr>
                <w:color w:val="000000"/>
                <w:sz w:val="20"/>
                <w:szCs w:val="20"/>
              </w:rPr>
              <w:t> </w:t>
            </w:r>
          </w:p>
        </w:tc>
      </w:tr>
      <w:tr w:rsidR="00C820B8" w:rsidRPr="0064652A" w14:paraId="74AC2A47" w14:textId="77777777">
        <w:tc>
          <w:tcPr>
            <w:tcW w:w="0" w:type="auto"/>
            <w:tcMar>
              <w:top w:w="5" w:type="dxa"/>
              <w:left w:w="5" w:type="dxa"/>
              <w:bottom w:w="5" w:type="dxa"/>
              <w:right w:w="5" w:type="dxa"/>
            </w:tcMar>
            <w:vAlign w:val="bottom"/>
            <w:hideMark/>
          </w:tcPr>
          <w:p w14:paraId="71ADB78B" w14:textId="77777777" w:rsidR="00C820B8" w:rsidRPr="0064652A" w:rsidRDefault="008D7FC6">
            <w:pPr>
              <w:ind w:left="720"/>
              <w:rPr>
                <w:color w:val="000000"/>
                <w:sz w:val="20"/>
                <w:szCs w:val="20"/>
              </w:rPr>
            </w:pPr>
            <w:r w:rsidRPr="0064652A">
              <w:rPr>
                <w:color w:val="000000"/>
                <w:sz w:val="20"/>
                <w:szCs w:val="20"/>
              </w:rPr>
              <w:t>Accounts payable and other current liabilities</w:t>
            </w:r>
          </w:p>
        </w:tc>
        <w:tc>
          <w:tcPr>
            <w:tcW w:w="50" w:type="pct"/>
            <w:tcMar>
              <w:top w:w="5" w:type="dxa"/>
              <w:left w:w="5" w:type="dxa"/>
              <w:bottom w:w="5" w:type="dxa"/>
              <w:right w:w="5" w:type="dxa"/>
            </w:tcMar>
            <w:vAlign w:val="bottom"/>
            <w:hideMark/>
          </w:tcPr>
          <w:p w14:paraId="30674F1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65258D0"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2025D82A" w14:textId="77777777" w:rsidR="00C820B8" w:rsidRPr="0064652A" w:rsidRDefault="008D7FC6">
            <w:pPr>
              <w:jc w:val="right"/>
              <w:rPr>
                <w:color w:val="000000"/>
                <w:sz w:val="20"/>
                <w:szCs w:val="20"/>
              </w:rPr>
            </w:pPr>
            <w:r w:rsidRPr="0064652A">
              <w:rPr>
                <w:color w:val="000000"/>
                <w:sz w:val="20"/>
                <w:szCs w:val="20"/>
              </w:rPr>
              <w:t>646</w:t>
            </w:r>
          </w:p>
        </w:tc>
        <w:tc>
          <w:tcPr>
            <w:tcW w:w="50" w:type="pct"/>
            <w:noWrap/>
            <w:tcMar>
              <w:top w:w="5" w:type="dxa"/>
              <w:left w:w="5" w:type="dxa"/>
              <w:bottom w:w="5" w:type="dxa"/>
              <w:right w:w="5" w:type="dxa"/>
            </w:tcMar>
            <w:vAlign w:val="bottom"/>
            <w:hideMark/>
          </w:tcPr>
          <w:p w14:paraId="66E28A5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BE2FA1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DA0F1D6"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26A8265" w14:textId="77777777" w:rsidR="00C820B8" w:rsidRPr="0064652A" w:rsidRDefault="008D7FC6">
            <w:pPr>
              <w:jc w:val="right"/>
              <w:rPr>
                <w:color w:val="000000"/>
                <w:sz w:val="20"/>
                <w:szCs w:val="20"/>
              </w:rPr>
            </w:pPr>
            <w:r w:rsidRPr="0064652A">
              <w:rPr>
                <w:color w:val="000000"/>
                <w:sz w:val="20"/>
                <w:szCs w:val="20"/>
              </w:rPr>
              <w:t>(244</w:t>
            </w:r>
          </w:p>
        </w:tc>
        <w:tc>
          <w:tcPr>
            <w:tcW w:w="50" w:type="pct"/>
            <w:noWrap/>
            <w:tcMar>
              <w:top w:w="5" w:type="dxa"/>
              <w:left w:w="5" w:type="dxa"/>
              <w:bottom w:w="5" w:type="dxa"/>
              <w:right w:w="5" w:type="dxa"/>
            </w:tcMar>
            <w:vAlign w:val="bottom"/>
            <w:hideMark/>
          </w:tcPr>
          <w:p w14:paraId="5B194D02" w14:textId="77777777" w:rsidR="00C820B8" w:rsidRPr="0064652A" w:rsidRDefault="008D7FC6">
            <w:pPr>
              <w:rPr>
                <w:color w:val="000000"/>
                <w:sz w:val="20"/>
                <w:szCs w:val="20"/>
              </w:rPr>
            </w:pPr>
            <w:r w:rsidRPr="0064652A">
              <w:rPr>
                <w:color w:val="000000"/>
                <w:sz w:val="20"/>
                <w:szCs w:val="20"/>
              </w:rPr>
              <w:t>)</w:t>
            </w:r>
          </w:p>
        </w:tc>
      </w:tr>
      <w:tr w:rsidR="00C820B8" w:rsidRPr="0064652A" w14:paraId="3AC77A6B" w14:textId="77777777">
        <w:tc>
          <w:tcPr>
            <w:tcW w:w="0" w:type="auto"/>
            <w:tcMar>
              <w:top w:w="5" w:type="dxa"/>
              <w:left w:w="5" w:type="dxa"/>
              <w:bottom w:w="5" w:type="dxa"/>
              <w:right w:w="5" w:type="dxa"/>
            </w:tcMar>
            <w:vAlign w:val="bottom"/>
            <w:hideMark/>
          </w:tcPr>
          <w:p w14:paraId="0BDEDCDC" w14:textId="77777777" w:rsidR="00C820B8" w:rsidRPr="0064652A" w:rsidRDefault="008D7FC6">
            <w:pPr>
              <w:rPr>
                <w:color w:val="000000"/>
                <w:sz w:val="20"/>
                <w:szCs w:val="20"/>
              </w:rPr>
            </w:pPr>
            <w:r w:rsidRPr="0064652A">
              <w:rPr>
                <w:color w:val="000000"/>
                <w:sz w:val="20"/>
                <w:szCs w:val="20"/>
              </w:rPr>
              <w:t>              Right of use assets-operating</w:t>
            </w:r>
          </w:p>
        </w:tc>
        <w:tc>
          <w:tcPr>
            <w:tcW w:w="50" w:type="pct"/>
            <w:tcMar>
              <w:top w:w="5" w:type="dxa"/>
              <w:left w:w="5" w:type="dxa"/>
              <w:bottom w:w="5" w:type="dxa"/>
              <w:right w:w="5" w:type="dxa"/>
            </w:tcMar>
            <w:vAlign w:val="bottom"/>
            <w:hideMark/>
          </w:tcPr>
          <w:p w14:paraId="7FCB892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E59CE4D"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64C22BD" w14:textId="77777777" w:rsidR="00C820B8" w:rsidRPr="0064652A" w:rsidRDefault="008D7FC6">
            <w:pPr>
              <w:jc w:val="right"/>
              <w:rPr>
                <w:color w:val="000000"/>
                <w:sz w:val="20"/>
                <w:szCs w:val="20"/>
              </w:rPr>
            </w:pPr>
            <w:r w:rsidRPr="0064652A">
              <w:rPr>
                <w:color w:val="000000"/>
                <w:sz w:val="20"/>
                <w:szCs w:val="20"/>
              </w:rPr>
              <w:t>(248</w:t>
            </w:r>
          </w:p>
        </w:tc>
        <w:tc>
          <w:tcPr>
            <w:tcW w:w="50" w:type="pct"/>
            <w:noWrap/>
            <w:tcMar>
              <w:top w:w="5" w:type="dxa"/>
              <w:left w:w="5" w:type="dxa"/>
              <w:bottom w:w="5" w:type="dxa"/>
              <w:right w:w="5" w:type="dxa"/>
            </w:tcMar>
            <w:vAlign w:val="bottom"/>
            <w:hideMark/>
          </w:tcPr>
          <w:p w14:paraId="01DD5A12"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23D51AD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1745E37"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284F2ADD"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002C33AF" w14:textId="77777777" w:rsidR="00C820B8" w:rsidRPr="0064652A" w:rsidRDefault="008D7FC6">
            <w:pPr>
              <w:rPr>
                <w:color w:val="000000"/>
                <w:sz w:val="20"/>
                <w:szCs w:val="20"/>
              </w:rPr>
            </w:pPr>
            <w:r w:rsidRPr="0064652A">
              <w:rPr>
                <w:color w:val="000000"/>
                <w:sz w:val="20"/>
                <w:szCs w:val="20"/>
              </w:rPr>
              <w:t> </w:t>
            </w:r>
          </w:p>
        </w:tc>
      </w:tr>
      <w:tr w:rsidR="00C820B8" w:rsidRPr="0064652A" w14:paraId="3CEA2C2C" w14:textId="77777777">
        <w:tc>
          <w:tcPr>
            <w:tcW w:w="0" w:type="auto"/>
            <w:tcMar>
              <w:top w:w="5" w:type="dxa"/>
              <w:left w:w="5" w:type="dxa"/>
              <w:bottom w:w="5" w:type="dxa"/>
              <w:right w:w="5" w:type="dxa"/>
            </w:tcMar>
            <w:vAlign w:val="bottom"/>
            <w:hideMark/>
          </w:tcPr>
          <w:p w14:paraId="11B03D68" w14:textId="77777777" w:rsidR="00C820B8" w:rsidRPr="0064652A" w:rsidRDefault="008D7FC6">
            <w:pPr>
              <w:ind w:left="720"/>
              <w:rPr>
                <w:color w:val="000000"/>
                <w:sz w:val="20"/>
                <w:szCs w:val="20"/>
              </w:rPr>
            </w:pPr>
            <w:r w:rsidRPr="0064652A">
              <w:rPr>
                <w:color w:val="000000"/>
                <w:sz w:val="20"/>
                <w:szCs w:val="20"/>
              </w:rPr>
              <w:t>Short term lease liabilities</w:t>
            </w:r>
          </w:p>
        </w:tc>
        <w:tc>
          <w:tcPr>
            <w:tcW w:w="50" w:type="pct"/>
            <w:tcMar>
              <w:top w:w="5" w:type="dxa"/>
              <w:left w:w="5" w:type="dxa"/>
              <w:bottom w:w="5" w:type="dxa"/>
              <w:right w:w="5" w:type="dxa"/>
            </w:tcMar>
            <w:vAlign w:val="bottom"/>
            <w:hideMark/>
          </w:tcPr>
          <w:p w14:paraId="31307B2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BF23043"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53235B0" w14:textId="77777777" w:rsidR="00C820B8" w:rsidRPr="0064652A" w:rsidRDefault="008D7FC6">
            <w:pPr>
              <w:jc w:val="right"/>
              <w:rPr>
                <w:color w:val="000000"/>
                <w:sz w:val="20"/>
                <w:szCs w:val="20"/>
              </w:rPr>
            </w:pPr>
            <w:r w:rsidRPr="0064652A">
              <w:rPr>
                <w:color w:val="000000"/>
                <w:sz w:val="20"/>
                <w:szCs w:val="20"/>
              </w:rPr>
              <w:t>(11</w:t>
            </w:r>
          </w:p>
        </w:tc>
        <w:tc>
          <w:tcPr>
            <w:tcW w:w="50" w:type="pct"/>
            <w:noWrap/>
            <w:tcMar>
              <w:top w:w="5" w:type="dxa"/>
              <w:left w:w="5" w:type="dxa"/>
              <w:bottom w:w="5" w:type="dxa"/>
              <w:right w:w="5" w:type="dxa"/>
            </w:tcMar>
            <w:vAlign w:val="bottom"/>
            <w:hideMark/>
          </w:tcPr>
          <w:p w14:paraId="72424F04"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74DE417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D834E20"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158E2E4" w14:textId="77777777" w:rsidR="00C820B8" w:rsidRPr="0064652A" w:rsidRDefault="008D7FC6">
            <w:pPr>
              <w:jc w:val="right"/>
              <w:rPr>
                <w:color w:val="000000"/>
                <w:sz w:val="20"/>
                <w:szCs w:val="20"/>
              </w:rPr>
            </w:pPr>
            <w:r w:rsidRPr="0064652A">
              <w:rPr>
                <w:color w:val="000000"/>
                <w:sz w:val="20"/>
                <w:szCs w:val="20"/>
              </w:rPr>
              <w:t>(66</w:t>
            </w:r>
          </w:p>
        </w:tc>
        <w:tc>
          <w:tcPr>
            <w:tcW w:w="50" w:type="pct"/>
            <w:noWrap/>
            <w:tcMar>
              <w:top w:w="5" w:type="dxa"/>
              <w:left w:w="5" w:type="dxa"/>
              <w:bottom w:w="5" w:type="dxa"/>
              <w:right w:w="5" w:type="dxa"/>
            </w:tcMar>
            <w:vAlign w:val="bottom"/>
            <w:hideMark/>
          </w:tcPr>
          <w:p w14:paraId="4A050052" w14:textId="77777777" w:rsidR="00C820B8" w:rsidRPr="0064652A" w:rsidRDefault="008D7FC6">
            <w:pPr>
              <w:rPr>
                <w:color w:val="000000"/>
                <w:sz w:val="20"/>
                <w:szCs w:val="20"/>
              </w:rPr>
            </w:pPr>
            <w:r w:rsidRPr="0064652A">
              <w:rPr>
                <w:color w:val="000000"/>
                <w:sz w:val="20"/>
                <w:szCs w:val="20"/>
              </w:rPr>
              <w:t>)</w:t>
            </w:r>
          </w:p>
        </w:tc>
      </w:tr>
      <w:tr w:rsidR="00C820B8" w:rsidRPr="0064652A" w14:paraId="6F1FFD50" w14:textId="77777777">
        <w:tc>
          <w:tcPr>
            <w:tcW w:w="0" w:type="auto"/>
            <w:tcMar>
              <w:top w:w="5" w:type="dxa"/>
              <w:left w:w="5" w:type="dxa"/>
              <w:bottom w:w="5" w:type="dxa"/>
              <w:right w:w="5" w:type="dxa"/>
            </w:tcMar>
            <w:vAlign w:val="bottom"/>
            <w:hideMark/>
          </w:tcPr>
          <w:p w14:paraId="7EAD65E1" w14:textId="77777777" w:rsidR="00C820B8" w:rsidRPr="0064652A" w:rsidRDefault="008D7FC6">
            <w:pPr>
              <w:ind w:left="720"/>
              <w:rPr>
                <w:color w:val="000000"/>
                <w:sz w:val="20"/>
                <w:szCs w:val="20"/>
              </w:rPr>
            </w:pPr>
            <w:r w:rsidRPr="0064652A">
              <w:rPr>
                <w:color w:val="000000"/>
                <w:sz w:val="20"/>
                <w:szCs w:val="20"/>
              </w:rPr>
              <w:t>Long term lease liabilities</w:t>
            </w:r>
          </w:p>
        </w:tc>
        <w:tc>
          <w:tcPr>
            <w:tcW w:w="50" w:type="pct"/>
            <w:tcMar>
              <w:top w:w="5" w:type="dxa"/>
              <w:left w:w="5" w:type="dxa"/>
              <w:bottom w:w="5" w:type="dxa"/>
              <w:right w:w="5" w:type="dxa"/>
            </w:tcMar>
            <w:vAlign w:val="bottom"/>
            <w:hideMark/>
          </w:tcPr>
          <w:p w14:paraId="5D2A570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C59B622"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8AD033A" w14:textId="77777777" w:rsidR="00C820B8" w:rsidRPr="0064652A" w:rsidRDefault="008D7FC6">
            <w:pPr>
              <w:jc w:val="right"/>
              <w:rPr>
                <w:color w:val="000000"/>
                <w:sz w:val="20"/>
                <w:szCs w:val="20"/>
              </w:rPr>
            </w:pPr>
            <w:r w:rsidRPr="0064652A">
              <w:rPr>
                <w:color w:val="000000"/>
                <w:sz w:val="20"/>
                <w:szCs w:val="20"/>
              </w:rPr>
              <w:t>146</w:t>
            </w:r>
          </w:p>
        </w:tc>
        <w:tc>
          <w:tcPr>
            <w:tcW w:w="50" w:type="pct"/>
            <w:noWrap/>
            <w:tcMar>
              <w:top w:w="5" w:type="dxa"/>
              <w:left w:w="5" w:type="dxa"/>
              <w:bottom w:w="5" w:type="dxa"/>
              <w:right w:w="5" w:type="dxa"/>
            </w:tcMar>
            <w:vAlign w:val="bottom"/>
            <w:hideMark/>
          </w:tcPr>
          <w:p w14:paraId="0061AFD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EA3E14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005A17B"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310C140" w14:textId="77777777" w:rsidR="00C820B8" w:rsidRPr="0064652A" w:rsidRDefault="008D7FC6">
            <w:pPr>
              <w:jc w:val="right"/>
              <w:rPr>
                <w:color w:val="000000"/>
                <w:sz w:val="20"/>
                <w:szCs w:val="20"/>
              </w:rPr>
            </w:pPr>
            <w:r w:rsidRPr="0064652A">
              <w:rPr>
                <w:color w:val="000000"/>
                <w:sz w:val="20"/>
                <w:szCs w:val="20"/>
              </w:rPr>
              <w:t>(104</w:t>
            </w:r>
          </w:p>
        </w:tc>
        <w:tc>
          <w:tcPr>
            <w:tcW w:w="50" w:type="pct"/>
            <w:noWrap/>
            <w:tcMar>
              <w:top w:w="5" w:type="dxa"/>
              <w:left w:w="5" w:type="dxa"/>
              <w:bottom w:w="5" w:type="dxa"/>
              <w:right w:w="5" w:type="dxa"/>
            </w:tcMar>
            <w:vAlign w:val="bottom"/>
            <w:hideMark/>
          </w:tcPr>
          <w:p w14:paraId="14D29EBA" w14:textId="77777777" w:rsidR="00C820B8" w:rsidRPr="0064652A" w:rsidRDefault="008D7FC6">
            <w:pPr>
              <w:rPr>
                <w:color w:val="000000"/>
                <w:sz w:val="20"/>
                <w:szCs w:val="20"/>
              </w:rPr>
            </w:pPr>
            <w:r w:rsidRPr="0064652A">
              <w:rPr>
                <w:color w:val="000000"/>
                <w:sz w:val="20"/>
                <w:szCs w:val="20"/>
              </w:rPr>
              <w:t>)</w:t>
            </w:r>
          </w:p>
        </w:tc>
      </w:tr>
      <w:tr w:rsidR="00C820B8" w:rsidRPr="0064652A" w14:paraId="10128BE9" w14:textId="77777777">
        <w:tc>
          <w:tcPr>
            <w:tcW w:w="0" w:type="auto"/>
            <w:tcMar>
              <w:top w:w="5" w:type="dxa"/>
              <w:left w:w="5" w:type="dxa"/>
              <w:bottom w:w="5" w:type="dxa"/>
              <w:right w:w="5" w:type="dxa"/>
            </w:tcMar>
            <w:vAlign w:val="bottom"/>
            <w:hideMark/>
          </w:tcPr>
          <w:p w14:paraId="3945EBA9" w14:textId="77777777" w:rsidR="00C820B8" w:rsidRPr="0064652A" w:rsidRDefault="008D7FC6">
            <w:pPr>
              <w:rPr>
                <w:color w:val="000000"/>
                <w:sz w:val="20"/>
                <w:szCs w:val="20"/>
              </w:rPr>
            </w:pPr>
            <w:r w:rsidRPr="0064652A">
              <w:rPr>
                <w:color w:val="000000"/>
                <w:sz w:val="20"/>
                <w:szCs w:val="20"/>
              </w:rPr>
              <w:t>              Due to affiliate</w:t>
            </w:r>
          </w:p>
        </w:tc>
        <w:tc>
          <w:tcPr>
            <w:tcW w:w="50" w:type="pct"/>
            <w:tcMar>
              <w:top w:w="5" w:type="dxa"/>
              <w:left w:w="5" w:type="dxa"/>
              <w:bottom w:w="5" w:type="dxa"/>
              <w:right w:w="5" w:type="dxa"/>
            </w:tcMar>
            <w:vAlign w:val="bottom"/>
            <w:hideMark/>
          </w:tcPr>
          <w:p w14:paraId="4A6E872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D433444"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638D36B"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2D138AF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1C7BA9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64E12EA"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C386F9A" w14:textId="77777777" w:rsidR="00C820B8" w:rsidRPr="0064652A" w:rsidRDefault="008D7FC6">
            <w:pPr>
              <w:jc w:val="right"/>
              <w:rPr>
                <w:color w:val="000000"/>
                <w:sz w:val="20"/>
                <w:szCs w:val="20"/>
              </w:rPr>
            </w:pPr>
            <w:r w:rsidRPr="0064652A">
              <w:rPr>
                <w:color w:val="000000"/>
                <w:sz w:val="20"/>
                <w:szCs w:val="20"/>
              </w:rPr>
              <w:t>1</w:t>
            </w:r>
          </w:p>
        </w:tc>
        <w:tc>
          <w:tcPr>
            <w:tcW w:w="50" w:type="pct"/>
            <w:noWrap/>
            <w:tcMar>
              <w:top w:w="5" w:type="dxa"/>
              <w:left w:w="5" w:type="dxa"/>
              <w:bottom w:w="5" w:type="dxa"/>
              <w:right w:w="5" w:type="dxa"/>
            </w:tcMar>
            <w:vAlign w:val="bottom"/>
            <w:hideMark/>
          </w:tcPr>
          <w:p w14:paraId="5C1E438E" w14:textId="77777777" w:rsidR="00C820B8" w:rsidRPr="0064652A" w:rsidRDefault="008D7FC6">
            <w:pPr>
              <w:rPr>
                <w:color w:val="000000"/>
                <w:sz w:val="20"/>
                <w:szCs w:val="20"/>
              </w:rPr>
            </w:pPr>
            <w:r w:rsidRPr="0064652A">
              <w:rPr>
                <w:color w:val="000000"/>
                <w:sz w:val="20"/>
                <w:szCs w:val="20"/>
              </w:rPr>
              <w:t> </w:t>
            </w:r>
          </w:p>
        </w:tc>
      </w:tr>
      <w:tr w:rsidR="00C820B8" w:rsidRPr="0064652A" w14:paraId="38648C4B" w14:textId="77777777">
        <w:tc>
          <w:tcPr>
            <w:tcW w:w="0" w:type="auto"/>
            <w:tcMar>
              <w:top w:w="5" w:type="dxa"/>
              <w:left w:w="5" w:type="dxa"/>
              <w:bottom w:w="5" w:type="dxa"/>
              <w:right w:w="5" w:type="dxa"/>
            </w:tcMar>
            <w:vAlign w:val="bottom"/>
            <w:hideMark/>
          </w:tcPr>
          <w:p w14:paraId="328E1DA5" w14:textId="77777777" w:rsidR="00C820B8" w:rsidRPr="0064652A" w:rsidRDefault="008D7FC6">
            <w:pPr>
              <w:rPr>
                <w:color w:val="000000"/>
                <w:sz w:val="20"/>
                <w:szCs w:val="20"/>
              </w:rPr>
            </w:pPr>
            <w:r w:rsidRPr="0064652A">
              <w:rPr>
                <w:color w:val="000000"/>
                <w:sz w:val="20"/>
                <w:szCs w:val="20"/>
              </w:rPr>
              <w:t>              Income taxes payable</w:t>
            </w:r>
          </w:p>
        </w:tc>
        <w:tc>
          <w:tcPr>
            <w:tcW w:w="50" w:type="pct"/>
            <w:tcMar>
              <w:top w:w="5" w:type="dxa"/>
              <w:left w:w="5" w:type="dxa"/>
              <w:bottom w:w="5" w:type="dxa"/>
              <w:right w:w="5" w:type="dxa"/>
            </w:tcMar>
            <w:vAlign w:val="bottom"/>
            <w:hideMark/>
          </w:tcPr>
          <w:p w14:paraId="11141F0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BF73273"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557369F" w14:textId="77777777" w:rsidR="00C820B8" w:rsidRPr="0064652A" w:rsidRDefault="008D7FC6">
            <w:pPr>
              <w:jc w:val="right"/>
              <w:rPr>
                <w:color w:val="000000"/>
                <w:sz w:val="20"/>
                <w:szCs w:val="20"/>
              </w:rPr>
            </w:pPr>
            <w:r w:rsidRPr="0064652A">
              <w:rPr>
                <w:color w:val="000000"/>
                <w:sz w:val="20"/>
                <w:szCs w:val="20"/>
              </w:rPr>
              <w:t>(326</w:t>
            </w:r>
          </w:p>
        </w:tc>
        <w:tc>
          <w:tcPr>
            <w:tcW w:w="50" w:type="pct"/>
            <w:noWrap/>
            <w:tcMar>
              <w:top w:w="5" w:type="dxa"/>
              <w:left w:w="5" w:type="dxa"/>
              <w:bottom w:w="5" w:type="dxa"/>
              <w:right w:w="5" w:type="dxa"/>
            </w:tcMar>
            <w:vAlign w:val="bottom"/>
            <w:hideMark/>
          </w:tcPr>
          <w:p w14:paraId="5DD77196"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2D2D830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609515B"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E82DC68" w14:textId="77777777" w:rsidR="00C820B8" w:rsidRPr="0064652A" w:rsidRDefault="008D7FC6">
            <w:pPr>
              <w:jc w:val="right"/>
              <w:rPr>
                <w:color w:val="000000"/>
                <w:sz w:val="20"/>
                <w:szCs w:val="20"/>
              </w:rPr>
            </w:pPr>
            <w:r w:rsidRPr="0064652A">
              <w:rPr>
                <w:color w:val="000000"/>
                <w:sz w:val="20"/>
                <w:szCs w:val="20"/>
              </w:rPr>
              <w:t>(205</w:t>
            </w:r>
          </w:p>
        </w:tc>
        <w:tc>
          <w:tcPr>
            <w:tcW w:w="50" w:type="pct"/>
            <w:noWrap/>
            <w:tcMar>
              <w:top w:w="5" w:type="dxa"/>
              <w:left w:w="5" w:type="dxa"/>
              <w:bottom w:w="5" w:type="dxa"/>
              <w:right w:w="5" w:type="dxa"/>
            </w:tcMar>
            <w:vAlign w:val="bottom"/>
            <w:hideMark/>
          </w:tcPr>
          <w:p w14:paraId="2D4E8582" w14:textId="77777777" w:rsidR="00C820B8" w:rsidRPr="0064652A" w:rsidRDefault="008D7FC6">
            <w:pPr>
              <w:rPr>
                <w:color w:val="000000"/>
                <w:sz w:val="20"/>
                <w:szCs w:val="20"/>
              </w:rPr>
            </w:pPr>
            <w:r w:rsidRPr="0064652A">
              <w:rPr>
                <w:color w:val="000000"/>
                <w:sz w:val="20"/>
                <w:szCs w:val="20"/>
              </w:rPr>
              <w:t>)</w:t>
            </w:r>
          </w:p>
        </w:tc>
      </w:tr>
      <w:tr w:rsidR="00C820B8" w:rsidRPr="0064652A" w14:paraId="1BA8D092" w14:textId="77777777">
        <w:tc>
          <w:tcPr>
            <w:tcW w:w="0" w:type="auto"/>
            <w:tcMar>
              <w:top w:w="5" w:type="dxa"/>
              <w:left w:w="5" w:type="dxa"/>
              <w:bottom w:w="5" w:type="dxa"/>
              <w:right w:w="5" w:type="dxa"/>
            </w:tcMar>
            <w:vAlign w:val="bottom"/>
            <w:hideMark/>
          </w:tcPr>
          <w:p w14:paraId="0466D857" w14:textId="77777777" w:rsidR="00C820B8" w:rsidRPr="0064652A" w:rsidRDefault="008D7FC6">
            <w:pPr>
              <w:ind w:firstLine="720"/>
              <w:rPr>
                <w:color w:val="000000"/>
                <w:sz w:val="20"/>
                <w:szCs w:val="20"/>
              </w:rPr>
            </w:pPr>
            <w:r w:rsidRPr="0064652A">
              <w:rPr>
                <w:color w:val="000000"/>
                <w:sz w:val="20"/>
                <w:szCs w:val="20"/>
              </w:rPr>
              <w:t>Advanced deposits</w:t>
            </w:r>
          </w:p>
        </w:tc>
        <w:tc>
          <w:tcPr>
            <w:tcW w:w="50" w:type="pct"/>
            <w:tcMar>
              <w:top w:w="5" w:type="dxa"/>
              <w:left w:w="5" w:type="dxa"/>
              <w:bottom w:w="5" w:type="dxa"/>
              <w:right w:w="5" w:type="dxa"/>
            </w:tcMar>
            <w:vAlign w:val="bottom"/>
            <w:hideMark/>
          </w:tcPr>
          <w:p w14:paraId="788632D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F58FC2E"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23CF52A5" w14:textId="77777777" w:rsidR="00C820B8" w:rsidRPr="0064652A" w:rsidRDefault="008D7FC6">
            <w:pPr>
              <w:jc w:val="right"/>
              <w:rPr>
                <w:color w:val="000000"/>
                <w:sz w:val="20"/>
                <w:szCs w:val="20"/>
              </w:rPr>
            </w:pPr>
            <w:r w:rsidRPr="0064652A">
              <w:rPr>
                <w:color w:val="000000"/>
                <w:sz w:val="20"/>
                <w:szCs w:val="20"/>
              </w:rPr>
              <w:t>(3,316</w:t>
            </w:r>
          </w:p>
        </w:tc>
        <w:tc>
          <w:tcPr>
            <w:tcW w:w="50" w:type="pct"/>
            <w:noWrap/>
            <w:tcMar>
              <w:top w:w="5" w:type="dxa"/>
              <w:left w:w="5" w:type="dxa"/>
              <w:bottom w:w="5" w:type="dxa"/>
              <w:right w:w="5" w:type="dxa"/>
            </w:tcMar>
            <w:vAlign w:val="bottom"/>
            <w:hideMark/>
          </w:tcPr>
          <w:p w14:paraId="63A246ED"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6387DAC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DE0AE40"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F89C2A9" w14:textId="77777777" w:rsidR="00C820B8" w:rsidRPr="0064652A" w:rsidRDefault="008D7FC6">
            <w:pPr>
              <w:jc w:val="right"/>
              <w:rPr>
                <w:color w:val="000000"/>
                <w:sz w:val="20"/>
                <w:szCs w:val="20"/>
              </w:rPr>
            </w:pPr>
            <w:r w:rsidRPr="0064652A">
              <w:rPr>
                <w:color w:val="000000"/>
                <w:sz w:val="20"/>
                <w:szCs w:val="20"/>
              </w:rPr>
              <w:t>4,100</w:t>
            </w:r>
          </w:p>
        </w:tc>
        <w:tc>
          <w:tcPr>
            <w:tcW w:w="50" w:type="pct"/>
            <w:noWrap/>
            <w:tcMar>
              <w:top w:w="5" w:type="dxa"/>
              <w:left w:w="5" w:type="dxa"/>
              <w:bottom w:w="5" w:type="dxa"/>
              <w:right w:w="5" w:type="dxa"/>
            </w:tcMar>
            <w:vAlign w:val="bottom"/>
            <w:hideMark/>
          </w:tcPr>
          <w:p w14:paraId="42FDBF83" w14:textId="77777777" w:rsidR="00C820B8" w:rsidRPr="0064652A" w:rsidRDefault="008D7FC6">
            <w:pPr>
              <w:rPr>
                <w:color w:val="000000"/>
                <w:sz w:val="20"/>
                <w:szCs w:val="20"/>
              </w:rPr>
            </w:pPr>
            <w:r w:rsidRPr="0064652A">
              <w:rPr>
                <w:color w:val="000000"/>
                <w:sz w:val="20"/>
                <w:szCs w:val="20"/>
              </w:rPr>
              <w:t> </w:t>
            </w:r>
          </w:p>
        </w:tc>
      </w:tr>
      <w:tr w:rsidR="00C820B8" w:rsidRPr="0064652A" w14:paraId="5F3D9DD1" w14:textId="77777777">
        <w:tc>
          <w:tcPr>
            <w:tcW w:w="0" w:type="auto"/>
            <w:tcMar>
              <w:top w:w="5" w:type="dxa"/>
              <w:left w:w="5" w:type="dxa"/>
              <w:bottom w:w="5" w:type="dxa"/>
              <w:right w:w="5" w:type="dxa"/>
            </w:tcMar>
            <w:vAlign w:val="bottom"/>
            <w:hideMark/>
          </w:tcPr>
          <w:p w14:paraId="36562B8F" w14:textId="77777777" w:rsidR="00C820B8" w:rsidRPr="0064652A" w:rsidRDefault="008D7FC6">
            <w:pPr>
              <w:ind w:left="720"/>
              <w:rPr>
                <w:color w:val="000000"/>
                <w:sz w:val="20"/>
                <w:szCs w:val="20"/>
              </w:rPr>
            </w:pPr>
            <w:r w:rsidRPr="0064652A">
              <w:rPr>
                <w:color w:val="000000"/>
                <w:sz w:val="20"/>
                <w:szCs w:val="20"/>
              </w:rPr>
              <w:t>Deferred revenue</w:t>
            </w:r>
          </w:p>
        </w:tc>
        <w:tc>
          <w:tcPr>
            <w:tcW w:w="50" w:type="pct"/>
            <w:tcMar>
              <w:top w:w="5" w:type="dxa"/>
              <w:left w:w="5" w:type="dxa"/>
              <w:bottom w:w="20" w:type="dxa"/>
              <w:right w:w="5" w:type="dxa"/>
            </w:tcMar>
            <w:vAlign w:val="bottom"/>
            <w:hideMark/>
          </w:tcPr>
          <w:p w14:paraId="22D1E178"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8C38E3C"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134853D" w14:textId="77777777" w:rsidR="00C820B8" w:rsidRPr="0064652A" w:rsidRDefault="008D7FC6">
            <w:pPr>
              <w:jc w:val="right"/>
              <w:rPr>
                <w:color w:val="000000"/>
                <w:sz w:val="20"/>
                <w:szCs w:val="20"/>
              </w:rPr>
            </w:pPr>
            <w:r w:rsidRPr="0064652A">
              <w:rPr>
                <w:color w:val="000000"/>
                <w:sz w:val="20"/>
                <w:szCs w:val="20"/>
              </w:rPr>
              <w:t>63</w:t>
            </w:r>
          </w:p>
        </w:tc>
        <w:tc>
          <w:tcPr>
            <w:tcW w:w="50" w:type="pct"/>
            <w:noWrap/>
            <w:tcMar>
              <w:top w:w="5" w:type="dxa"/>
              <w:left w:w="5" w:type="dxa"/>
              <w:bottom w:w="20" w:type="dxa"/>
              <w:right w:w="5" w:type="dxa"/>
            </w:tcMar>
            <w:vAlign w:val="bottom"/>
            <w:hideMark/>
          </w:tcPr>
          <w:p w14:paraId="46E84F2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59314469"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21A67A8"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A076701" w14:textId="77777777" w:rsidR="00C820B8" w:rsidRPr="0064652A" w:rsidRDefault="008D7FC6">
            <w:pPr>
              <w:jc w:val="right"/>
              <w:rPr>
                <w:color w:val="000000"/>
                <w:sz w:val="20"/>
                <w:szCs w:val="20"/>
              </w:rPr>
            </w:pPr>
            <w:r w:rsidRPr="0064652A">
              <w:rPr>
                <w:color w:val="000000"/>
                <w:sz w:val="20"/>
                <w:szCs w:val="20"/>
              </w:rPr>
              <w:t>(28</w:t>
            </w:r>
          </w:p>
        </w:tc>
        <w:tc>
          <w:tcPr>
            <w:tcW w:w="50" w:type="pct"/>
            <w:noWrap/>
            <w:tcMar>
              <w:top w:w="5" w:type="dxa"/>
              <w:left w:w="5" w:type="dxa"/>
              <w:bottom w:w="20" w:type="dxa"/>
              <w:right w:w="5" w:type="dxa"/>
            </w:tcMar>
            <w:vAlign w:val="bottom"/>
            <w:hideMark/>
          </w:tcPr>
          <w:p w14:paraId="69077C6F" w14:textId="77777777" w:rsidR="00C820B8" w:rsidRPr="0064652A" w:rsidRDefault="008D7FC6">
            <w:pPr>
              <w:rPr>
                <w:color w:val="000000"/>
                <w:sz w:val="20"/>
                <w:szCs w:val="20"/>
              </w:rPr>
            </w:pPr>
            <w:r w:rsidRPr="0064652A">
              <w:rPr>
                <w:color w:val="000000"/>
                <w:sz w:val="20"/>
                <w:szCs w:val="20"/>
              </w:rPr>
              <w:t>)</w:t>
            </w:r>
          </w:p>
        </w:tc>
      </w:tr>
      <w:tr w:rsidR="00C820B8" w:rsidRPr="0064652A" w14:paraId="701C3CFD" w14:textId="77777777">
        <w:tc>
          <w:tcPr>
            <w:tcW w:w="0" w:type="auto"/>
            <w:tcMar>
              <w:top w:w="5" w:type="dxa"/>
              <w:left w:w="5" w:type="dxa"/>
              <w:bottom w:w="5" w:type="dxa"/>
              <w:right w:w="5" w:type="dxa"/>
            </w:tcMar>
            <w:vAlign w:val="bottom"/>
            <w:hideMark/>
          </w:tcPr>
          <w:p w14:paraId="59DC3F8E" w14:textId="77777777" w:rsidR="00C820B8" w:rsidRPr="0064652A" w:rsidRDefault="008D7FC6">
            <w:pPr>
              <w:rPr>
                <w:color w:val="000000"/>
                <w:sz w:val="20"/>
                <w:szCs w:val="20"/>
              </w:rPr>
            </w:pPr>
            <w:r w:rsidRPr="0064652A">
              <w:rPr>
                <w:color w:val="000000"/>
                <w:sz w:val="20"/>
                <w:szCs w:val="20"/>
              </w:rPr>
              <w:t>Net cash (used) provided by operating activities</w:t>
            </w:r>
          </w:p>
        </w:tc>
        <w:tc>
          <w:tcPr>
            <w:tcW w:w="50" w:type="pct"/>
            <w:tcMar>
              <w:top w:w="5" w:type="dxa"/>
              <w:left w:w="5" w:type="dxa"/>
              <w:bottom w:w="5" w:type="dxa"/>
              <w:right w:w="5" w:type="dxa"/>
            </w:tcMar>
            <w:vAlign w:val="bottom"/>
            <w:hideMark/>
          </w:tcPr>
          <w:p w14:paraId="717F0240"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0863F05"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92C80B4" w14:textId="77777777" w:rsidR="00C820B8" w:rsidRPr="0064652A" w:rsidRDefault="008D7FC6">
            <w:pPr>
              <w:jc w:val="right"/>
              <w:rPr>
                <w:color w:val="000000"/>
                <w:sz w:val="20"/>
                <w:szCs w:val="20"/>
              </w:rPr>
            </w:pPr>
            <w:r w:rsidRPr="0064652A">
              <w:rPr>
                <w:color w:val="000000"/>
                <w:sz w:val="20"/>
                <w:szCs w:val="20"/>
              </w:rPr>
              <w:t>(3,019</w:t>
            </w:r>
          </w:p>
        </w:tc>
        <w:tc>
          <w:tcPr>
            <w:tcW w:w="50" w:type="pct"/>
            <w:noWrap/>
            <w:tcMar>
              <w:top w:w="5" w:type="dxa"/>
              <w:left w:w="5" w:type="dxa"/>
              <w:bottom w:w="20" w:type="dxa"/>
              <w:right w:w="5" w:type="dxa"/>
            </w:tcMar>
            <w:vAlign w:val="bottom"/>
            <w:hideMark/>
          </w:tcPr>
          <w:p w14:paraId="2B5243B9"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0DFCCAE1"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5FFD5D5"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2BB19C8" w14:textId="77777777" w:rsidR="00C820B8" w:rsidRPr="0064652A" w:rsidRDefault="008D7FC6">
            <w:pPr>
              <w:jc w:val="right"/>
              <w:rPr>
                <w:color w:val="000000"/>
                <w:sz w:val="20"/>
                <w:szCs w:val="20"/>
              </w:rPr>
            </w:pPr>
            <w:r w:rsidRPr="0064652A">
              <w:rPr>
                <w:color w:val="000000"/>
                <w:sz w:val="20"/>
                <w:szCs w:val="20"/>
              </w:rPr>
              <w:t>1,718</w:t>
            </w:r>
          </w:p>
        </w:tc>
        <w:tc>
          <w:tcPr>
            <w:tcW w:w="50" w:type="pct"/>
            <w:noWrap/>
            <w:tcMar>
              <w:top w:w="5" w:type="dxa"/>
              <w:left w:w="5" w:type="dxa"/>
              <w:bottom w:w="20" w:type="dxa"/>
              <w:right w:w="5" w:type="dxa"/>
            </w:tcMar>
            <w:vAlign w:val="bottom"/>
            <w:hideMark/>
          </w:tcPr>
          <w:p w14:paraId="4ED8D97C" w14:textId="77777777" w:rsidR="00C820B8" w:rsidRPr="0064652A" w:rsidRDefault="008D7FC6">
            <w:pPr>
              <w:rPr>
                <w:color w:val="000000"/>
                <w:sz w:val="20"/>
                <w:szCs w:val="20"/>
              </w:rPr>
            </w:pPr>
            <w:r w:rsidRPr="0064652A">
              <w:rPr>
                <w:color w:val="000000"/>
                <w:sz w:val="20"/>
                <w:szCs w:val="20"/>
              </w:rPr>
              <w:t> </w:t>
            </w:r>
          </w:p>
        </w:tc>
      </w:tr>
      <w:tr w:rsidR="00C820B8" w:rsidRPr="0064652A" w14:paraId="5AB96AF9" w14:textId="77777777">
        <w:tc>
          <w:tcPr>
            <w:tcW w:w="0" w:type="auto"/>
            <w:tcMar>
              <w:top w:w="5" w:type="dxa"/>
              <w:left w:w="5" w:type="dxa"/>
              <w:bottom w:w="5" w:type="dxa"/>
              <w:right w:w="5" w:type="dxa"/>
            </w:tcMar>
            <w:vAlign w:val="bottom"/>
            <w:hideMark/>
          </w:tcPr>
          <w:p w14:paraId="065CB90A" w14:textId="77777777" w:rsidR="00C820B8" w:rsidRPr="0064652A" w:rsidRDefault="008D7FC6">
            <w:pPr>
              <w:rPr>
                <w:color w:val="000000"/>
                <w:sz w:val="20"/>
                <w:szCs w:val="20"/>
              </w:rPr>
            </w:pPr>
            <w:r w:rsidRPr="0064652A">
              <w:rPr>
                <w:b/>
                <w:bCs/>
                <w:color w:val="000000"/>
                <w:sz w:val="20"/>
                <w:szCs w:val="20"/>
              </w:rPr>
              <w:t>Cash Flows From Investing Activities:</w:t>
            </w:r>
          </w:p>
        </w:tc>
        <w:tc>
          <w:tcPr>
            <w:tcW w:w="0" w:type="auto"/>
            <w:tcMar>
              <w:top w:w="5" w:type="dxa"/>
              <w:left w:w="5" w:type="dxa"/>
              <w:bottom w:w="5" w:type="dxa"/>
              <w:right w:w="5" w:type="dxa"/>
            </w:tcMar>
            <w:vAlign w:val="bottom"/>
            <w:hideMark/>
          </w:tcPr>
          <w:p w14:paraId="2E33635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475D42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7577DD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284172C"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1079B9F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8DF2CE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4CAE91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75D20A0" w14:textId="77777777" w:rsidR="00C820B8" w:rsidRPr="0064652A" w:rsidRDefault="008D7FC6">
            <w:pPr>
              <w:rPr>
                <w:color w:val="000000"/>
                <w:sz w:val="20"/>
                <w:szCs w:val="20"/>
              </w:rPr>
            </w:pPr>
            <w:r w:rsidRPr="0064652A">
              <w:rPr>
                <w:b/>
                <w:bCs/>
                <w:color w:val="000000"/>
                <w:sz w:val="20"/>
                <w:szCs w:val="20"/>
              </w:rPr>
              <w:t> </w:t>
            </w:r>
          </w:p>
        </w:tc>
      </w:tr>
      <w:tr w:rsidR="00C820B8" w:rsidRPr="0064652A" w14:paraId="275D9769" w14:textId="77777777">
        <w:tc>
          <w:tcPr>
            <w:tcW w:w="0" w:type="auto"/>
            <w:tcMar>
              <w:top w:w="5" w:type="dxa"/>
              <w:left w:w="5" w:type="dxa"/>
              <w:bottom w:w="5" w:type="dxa"/>
              <w:right w:w="5" w:type="dxa"/>
            </w:tcMar>
            <w:vAlign w:val="bottom"/>
            <w:hideMark/>
          </w:tcPr>
          <w:p w14:paraId="1649ABED" w14:textId="77777777" w:rsidR="00C820B8" w:rsidRPr="0064652A" w:rsidRDefault="008D7FC6">
            <w:pPr>
              <w:rPr>
                <w:color w:val="000000"/>
                <w:sz w:val="20"/>
                <w:szCs w:val="20"/>
              </w:rPr>
            </w:pPr>
            <w:r w:rsidRPr="0064652A">
              <w:rPr>
                <w:color w:val="000000"/>
                <w:sz w:val="20"/>
                <w:szCs w:val="20"/>
              </w:rPr>
              <w:t>               Purchases of investments</w:t>
            </w:r>
          </w:p>
        </w:tc>
        <w:tc>
          <w:tcPr>
            <w:tcW w:w="50" w:type="pct"/>
            <w:tcMar>
              <w:top w:w="5" w:type="dxa"/>
              <w:left w:w="5" w:type="dxa"/>
              <w:bottom w:w="5" w:type="dxa"/>
              <w:right w:w="5" w:type="dxa"/>
            </w:tcMar>
            <w:vAlign w:val="bottom"/>
            <w:hideMark/>
          </w:tcPr>
          <w:p w14:paraId="235551E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B34DF18"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65F6812" w14:textId="77777777" w:rsidR="00C820B8" w:rsidRPr="0064652A" w:rsidRDefault="008D7FC6">
            <w:pPr>
              <w:jc w:val="right"/>
              <w:rPr>
                <w:color w:val="000000"/>
                <w:sz w:val="20"/>
                <w:szCs w:val="20"/>
              </w:rPr>
            </w:pPr>
            <w:r w:rsidRPr="0064652A">
              <w:rPr>
                <w:color w:val="000000"/>
                <w:sz w:val="20"/>
                <w:szCs w:val="20"/>
              </w:rPr>
              <w:t>(18,505</w:t>
            </w:r>
          </w:p>
        </w:tc>
        <w:tc>
          <w:tcPr>
            <w:tcW w:w="50" w:type="pct"/>
            <w:noWrap/>
            <w:tcMar>
              <w:top w:w="5" w:type="dxa"/>
              <w:left w:w="5" w:type="dxa"/>
              <w:bottom w:w="5" w:type="dxa"/>
              <w:right w:w="5" w:type="dxa"/>
            </w:tcMar>
            <w:vAlign w:val="bottom"/>
            <w:hideMark/>
          </w:tcPr>
          <w:p w14:paraId="252857E7"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17C0F8D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116DAE5"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44D86306"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3C5BC33C" w14:textId="77777777" w:rsidR="00C820B8" w:rsidRPr="0064652A" w:rsidRDefault="008D7FC6">
            <w:pPr>
              <w:rPr>
                <w:color w:val="000000"/>
                <w:sz w:val="20"/>
                <w:szCs w:val="20"/>
              </w:rPr>
            </w:pPr>
            <w:r w:rsidRPr="0064652A">
              <w:rPr>
                <w:color w:val="000000"/>
                <w:sz w:val="20"/>
                <w:szCs w:val="20"/>
              </w:rPr>
              <w:t> </w:t>
            </w:r>
          </w:p>
        </w:tc>
      </w:tr>
      <w:tr w:rsidR="00C820B8" w:rsidRPr="0064652A" w14:paraId="2C6EDCCA" w14:textId="77777777">
        <w:tc>
          <w:tcPr>
            <w:tcW w:w="0" w:type="auto"/>
            <w:tcMar>
              <w:top w:w="5" w:type="dxa"/>
              <w:left w:w="5" w:type="dxa"/>
              <w:bottom w:w="5" w:type="dxa"/>
              <w:right w:w="5" w:type="dxa"/>
            </w:tcMar>
            <w:vAlign w:val="bottom"/>
            <w:hideMark/>
          </w:tcPr>
          <w:p w14:paraId="4C865CFA" w14:textId="77777777" w:rsidR="00C820B8" w:rsidRPr="0064652A" w:rsidRDefault="008D7FC6">
            <w:pPr>
              <w:ind w:left="720"/>
              <w:rPr>
                <w:color w:val="000000"/>
                <w:sz w:val="20"/>
                <w:szCs w:val="20"/>
              </w:rPr>
            </w:pPr>
            <w:r w:rsidRPr="0064652A">
              <w:rPr>
                <w:color w:val="000000"/>
                <w:sz w:val="20"/>
                <w:szCs w:val="20"/>
              </w:rPr>
              <w:t>Additions to property and equipment</w:t>
            </w:r>
          </w:p>
        </w:tc>
        <w:tc>
          <w:tcPr>
            <w:tcW w:w="50" w:type="pct"/>
            <w:tcMar>
              <w:top w:w="5" w:type="dxa"/>
              <w:left w:w="5" w:type="dxa"/>
              <w:bottom w:w="5" w:type="dxa"/>
              <w:right w:w="5" w:type="dxa"/>
            </w:tcMar>
            <w:vAlign w:val="bottom"/>
            <w:hideMark/>
          </w:tcPr>
          <w:p w14:paraId="59A9C7B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160DDED"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C2EAA62" w14:textId="77777777" w:rsidR="00C820B8" w:rsidRPr="0064652A" w:rsidRDefault="008D7FC6">
            <w:pPr>
              <w:jc w:val="right"/>
              <w:rPr>
                <w:color w:val="000000"/>
                <w:sz w:val="20"/>
                <w:szCs w:val="20"/>
              </w:rPr>
            </w:pPr>
            <w:r w:rsidRPr="0064652A">
              <w:rPr>
                <w:color w:val="000000"/>
                <w:sz w:val="20"/>
                <w:szCs w:val="20"/>
              </w:rPr>
              <w:t>(107</w:t>
            </w:r>
          </w:p>
        </w:tc>
        <w:tc>
          <w:tcPr>
            <w:tcW w:w="50" w:type="pct"/>
            <w:noWrap/>
            <w:tcMar>
              <w:top w:w="5" w:type="dxa"/>
              <w:left w:w="5" w:type="dxa"/>
              <w:bottom w:w="5" w:type="dxa"/>
              <w:right w:w="5" w:type="dxa"/>
            </w:tcMar>
            <w:vAlign w:val="bottom"/>
            <w:hideMark/>
          </w:tcPr>
          <w:p w14:paraId="054B50EA"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356BD64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508679E"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2E7BDB9C"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60A4C6E3" w14:textId="77777777" w:rsidR="00C820B8" w:rsidRPr="0064652A" w:rsidRDefault="008D7FC6">
            <w:pPr>
              <w:rPr>
                <w:color w:val="000000"/>
                <w:sz w:val="20"/>
                <w:szCs w:val="20"/>
              </w:rPr>
            </w:pPr>
            <w:r w:rsidRPr="0064652A">
              <w:rPr>
                <w:color w:val="000000"/>
                <w:sz w:val="20"/>
                <w:szCs w:val="20"/>
              </w:rPr>
              <w:t> </w:t>
            </w:r>
          </w:p>
        </w:tc>
      </w:tr>
      <w:tr w:rsidR="00C820B8" w:rsidRPr="0064652A" w14:paraId="02739E2F" w14:textId="77777777">
        <w:tc>
          <w:tcPr>
            <w:tcW w:w="0" w:type="auto"/>
            <w:tcMar>
              <w:top w:w="5" w:type="dxa"/>
              <w:left w:w="5" w:type="dxa"/>
              <w:bottom w:w="5" w:type="dxa"/>
              <w:right w:w="5" w:type="dxa"/>
            </w:tcMar>
            <w:vAlign w:val="bottom"/>
            <w:hideMark/>
          </w:tcPr>
          <w:p w14:paraId="3419018F" w14:textId="77777777" w:rsidR="00C820B8" w:rsidRPr="0064652A" w:rsidRDefault="008D7FC6">
            <w:pPr>
              <w:ind w:left="720"/>
              <w:rPr>
                <w:color w:val="000000"/>
                <w:sz w:val="20"/>
                <w:szCs w:val="20"/>
              </w:rPr>
            </w:pPr>
            <w:r w:rsidRPr="0064652A">
              <w:rPr>
                <w:color w:val="000000"/>
                <w:sz w:val="20"/>
                <w:szCs w:val="20"/>
              </w:rPr>
              <w:t>Disposals of property and equipment</w:t>
            </w:r>
          </w:p>
        </w:tc>
        <w:tc>
          <w:tcPr>
            <w:tcW w:w="50" w:type="pct"/>
            <w:tcMar>
              <w:top w:w="5" w:type="dxa"/>
              <w:left w:w="5" w:type="dxa"/>
              <w:bottom w:w="5" w:type="dxa"/>
              <w:right w:w="5" w:type="dxa"/>
            </w:tcMar>
            <w:vAlign w:val="bottom"/>
            <w:hideMark/>
          </w:tcPr>
          <w:p w14:paraId="3E5D8C10"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5D315BC"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DF5918F"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40DDE0A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AFF7DD9"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68B9CE3"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50E8D00"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5A441F5A" w14:textId="77777777" w:rsidR="00C820B8" w:rsidRPr="0064652A" w:rsidRDefault="008D7FC6">
            <w:pPr>
              <w:rPr>
                <w:color w:val="000000"/>
                <w:sz w:val="20"/>
                <w:szCs w:val="20"/>
              </w:rPr>
            </w:pPr>
            <w:r w:rsidRPr="0064652A">
              <w:rPr>
                <w:color w:val="000000"/>
                <w:sz w:val="20"/>
                <w:szCs w:val="20"/>
              </w:rPr>
              <w:t> </w:t>
            </w:r>
          </w:p>
        </w:tc>
      </w:tr>
      <w:tr w:rsidR="00C820B8" w:rsidRPr="0064652A" w14:paraId="39F6DD35" w14:textId="77777777">
        <w:tc>
          <w:tcPr>
            <w:tcW w:w="0" w:type="auto"/>
            <w:tcMar>
              <w:top w:w="5" w:type="dxa"/>
              <w:left w:w="5" w:type="dxa"/>
              <w:bottom w:w="5" w:type="dxa"/>
              <w:right w:w="5" w:type="dxa"/>
            </w:tcMar>
            <w:vAlign w:val="bottom"/>
            <w:hideMark/>
          </w:tcPr>
          <w:p w14:paraId="2888266D" w14:textId="77777777" w:rsidR="00C820B8" w:rsidRPr="0064652A" w:rsidRDefault="008D7FC6">
            <w:pPr>
              <w:rPr>
                <w:color w:val="000000"/>
                <w:sz w:val="20"/>
                <w:szCs w:val="20"/>
              </w:rPr>
            </w:pPr>
            <w:r w:rsidRPr="0064652A">
              <w:rPr>
                <w:color w:val="000000"/>
                <w:sz w:val="20"/>
                <w:szCs w:val="20"/>
              </w:rPr>
              <w:t>Net cash (used) by investing activities</w:t>
            </w:r>
          </w:p>
        </w:tc>
        <w:tc>
          <w:tcPr>
            <w:tcW w:w="50" w:type="pct"/>
            <w:tcMar>
              <w:top w:w="5" w:type="dxa"/>
              <w:left w:w="5" w:type="dxa"/>
              <w:bottom w:w="5" w:type="dxa"/>
              <w:right w:w="5" w:type="dxa"/>
            </w:tcMar>
            <w:vAlign w:val="bottom"/>
            <w:hideMark/>
          </w:tcPr>
          <w:p w14:paraId="0A36E3AB"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6C8C6D9"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F8167B9" w14:textId="77777777" w:rsidR="00C820B8" w:rsidRPr="0064652A" w:rsidRDefault="008D7FC6">
            <w:pPr>
              <w:jc w:val="right"/>
              <w:rPr>
                <w:color w:val="000000"/>
                <w:sz w:val="20"/>
                <w:szCs w:val="20"/>
              </w:rPr>
            </w:pPr>
            <w:r w:rsidRPr="0064652A">
              <w:rPr>
                <w:color w:val="000000"/>
                <w:sz w:val="20"/>
                <w:szCs w:val="20"/>
              </w:rPr>
              <w:t>(18,612</w:t>
            </w:r>
          </w:p>
        </w:tc>
        <w:tc>
          <w:tcPr>
            <w:tcW w:w="50" w:type="pct"/>
            <w:noWrap/>
            <w:tcMar>
              <w:top w:w="5" w:type="dxa"/>
              <w:left w:w="5" w:type="dxa"/>
              <w:bottom w:w="20" w:type="dxa"/>
              <w:right w:w="5" w:type="dxa"/>
            </w:tcMar>
            <w:vAlign w:val="bottom"/>
            <w:hideMark/>
          </w:tcPr>
          <w:p w14:paraId="7274E578"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09940E74"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FFB3450"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3128F12"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6A076D3E" w14:textId="77777777" w:rsidR="00C820B8" w:rsidRPr="0064652A" w:rsidRDefault="008D7FC6">
            <w:pPr>
              <w:rPr>
                <w:color w:val="000000"/>
                <w:sz w:val="20"/>
                <w:szCs w:val="20"/>
              </w:rPr>
            </w:pPr>
            <w:r w:rsidRPr="0064652A">
              <w:rPr>
                <w:color w:val="000000"/>
                <w:sz w:val="20"/>
                <w:szCs w:val="20"/>
              </w:rPr>
              <w:t> </w:t>
            </w:r>
          </w:p>
        </w:tc>
      </w:tr>
      <w:tr w:rsidR="00C820B8" w:rsidRPr="0064652A" w14:paraId="570D0097" w14:textId="77777777">
        <w:tc>
          <w:tcPr>
            <w:tcW w:w="0" w:type="auto"/>
            <w:tcMar>
              <w:top w:w="5" w:type="dxa"/>
              <w:left w:w="5" w:type="dxa"/>
              <w:bottom w:w="5" w:type="dxa"/>
              <w:right w:w="5" w:type="dxa"/>
            </w:tcMar>
            <w:vAlign w:val="bottom"/>
            <w:hideMark/>
          </w:tcPr>
          <w:p w14:paraId="4E91137E" w14:textId="77777777" w:rsidR="00C820B8" w:rsidRPr="0064652A" w:rsidRDefault="008D7FC6">
            <w:pPr>
              <w:rPr>
                <w:color w:val="000000"/>
                <w:sz w:val="20"/>
                <w:szCs w:val="20"/>
              </w:rPr>
            </w:pPr>
            <w:r w:rsidRPr="0064652A">
              <w:rPr>
                <w:b/>
                <w:bCs/>
                <w:color w:val="000000"/>
                <w:sz w:val="20"/>
                <w:szCs w:val="20"/>
              </w:rPr>
              <w:t>Cash Flows from Financing Activities:</w:t>
            </w:r>
          </w:p>
        </w:tc>
        <w:tc>
          <w:tcPr>
            <w:tcW w:w="0" w:type="auto"/>
            <w:tcMar>
              <w:top w:w="5" w:type="dxa"/>
              <w:left w:w="5" w:type="dxa"/>
              <w:bottom w:w="5" w:type="dxa"/>
              <w:right w:w="5" w:type="dxa"/>
            </w:tcMar>
            <w:vAlign w:val="bottom"/>
            <w:hideMark/>
          </w:tcPr>
          <w:p w14:paraId="2EA5AF6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547BC9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C1ADE7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DD4A357"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218B17F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0237D5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C8CD3F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1AD7922" w14:textId="77777777" w:rsidR="00C820B8" w:rsidRPr="0064652A" w:rsidRDefault="008D7FC6">
            <w:pPr>
              <w:rPr>
                <w:color w:val="000000"/>
                <w:sz w:val="20"/>
                <w:szCs w:val="20"/>
              </w:rPr>
            </w:pPr>
            <w:r w:rsidRPr="0064652A">
              <w:rPr>
                <w:b/>
                <w:bCs/>
                <w:color w:val="000000"/>
                <w:sz w:val="20"/>
                <w:szCs w:val="20"/>
              </w:rPr>
              <w:t> </w:t>
            </w:r>
          </w:p>
        </w:tc>
      </w:tr>
      <w:tr w:rsidR="00C820B8" w:rsidRPr="0064652A" w14:paraId="05787E05" w14:textId="77777777">
        <w:tc>
          <w:tcPr>
            <w:tcW w:w="0" w:type="auto"/>
            <w:tcMar>
              <w:top w:w="5" w:type="dxa"/>
              <w:left w:w="5" w:type="dxa"/>
              <w:bottom w:w="5" w:type="dxa"/>
              <w:right w:w="5" w:type="dxa"/>
            </w:tcMar>
            <w:vAlign w:val="bottom"/>
            <w:hideMark/>
          </w:tcPr>
          <w:p w14:paraId="28DC88A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2F727848"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57D3C4B"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07EF6CB"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61CE92A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4CDCE064"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099405B"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246CFB5"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119B14C5" w14:textId="77777777" w:rsidR="00C820B8" w:rsidRPr="0064652A" w:rsidRDefault="008D7FC6">
            <w:pPr>
              <w:rPr>
                <w:color w:val="000000"/>
                <w:sz w:val="20"/>
                <w:szCs w:val="20"/>
              </w:rPr>
            </w:pPr>
            <w:r w:rsidRPr="0064652A">
              <w:rPr>
                <w:color w:val="000000"/>
                <w:sz w:val="20"/>
                <w:szCs w:val="20"/>
              </w:rPr>
              <w:t> </w:t>
            </w:r>
          </w:p>
        </w:tc>
      </w:tr>
      <w:tr w:rsidR="00C820B8" w:rsidRPr="0064652A" w14:paraId="2902E447" w14:textId="77777777">
        <w:tc>
          <w:tcPr>
            <w:tcW w:w="0" w:type="auto"/>
            <w:tcMar>
              <w:top w:w="5" w:type="dxa"/>
              <w:left w:w="5" w:type="dxa"/>
              <w:bottom w:w="5" w:type="dxa"/>
              <w:right w:w="5" w:type="dxa"/>
            </w:tcMar>
            <w:vAlign w:val="bottom"/>
            <w:hideMark/>
          </w:tcPr>
          <w:p w14:paraId="7A873EFC" w14:textId="77777777" w:rsidR="00C820B8" w:rsidRPr="0064652A" w:rsidRDefault="008D7FC6">
            <w:pPr>
              <w:rPr>
                <w:color w:val="000000"/>
                <w:sz w:val="20"/>
                <w:szCs w:val="20"/>
              </w:rPr>
            </w:pPr>
            <w:r w:rsidRPr="0064652A">
              <w:rPr>
                <w:color w:val="000000"/>
                <w:sz w:val="20"/>
                <w:szCs w:val="20"/>
              </w:rPr>
              <w:t>Net cash provided by financing activities</w:t>
            </w:r>
          </w:p>
        </w:tc>
        <w:tc>
          <w:tcPr>
            <w:tcW w:w="50" w:type="pct"/>
            <w:tcMar>
              <w:top w:w="5" w:type="dxa"/>
              <w:left w:w="5" w:type="dxa"/>
              <w:bottom w:w="5" w:type="dxa"/>
              <w:right w:w="5" w:type="dxa"/>
            </w:tcMar>
            <w:vAlign w:val="bottom"/>
            <w:hideMark/>
          </w:tcPr>
          <w:p w14:paraId="31883A17"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229579A"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7128138"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3BF405C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B8D90BC"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0F64B0C"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3A9E187"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473DCD89" w14:textId="77777777" w:rsidR="00C820B8" w:rsidRPr="0064652A" w:rsidRDefault="008D7FC6">
            <w:pPr>
              <w:rPr>
                <w:color w:val="000000"/>
                <w:sz w:val="20"/>
                <w:szCs w:val="20"/>
              </w:rPr>
            </w:pPr>
            <w:r w:rsidRPr="0064652A">
              <w:rPr>
                <w:color w:val="000000"/>
                <w:sz w:val="20"/>
                <w:szCs w:val="20"/>
              </w:rPr>
              <w:t> </w:t>
            </w:r>
          </w:p>
        </w:tc>
      </w:tr>
      <w:tr w:rsidR="00C820B8" w:rsidRPr="0064652A" w14:paraId="7A36A659" w14:textId="77777777">
        <w:tc>
          <w:tcPr>
            <w:tcW w:w="0" w:type="auto"/>
            <w:tcMar>
              <w:top w:w="5" w:type="dxa"/>
              <w:left w:w="5" w:type="dxa"/>
              <w:bottom w:w="5" w:type="dxa"/>
              <w:right w:w="5" w:type="dxa"/>
            </w:tcMar>
            <w:vAlign w:val="bottom"/>
            <w:hideMark/>
          </w:tcPr>
          <w:p w14:paraId="6EFC33A8" w14:textId="77777777" w:rsidR="00C820B8" w:rsidRPr="0064652A" w:rsidRDefault="008D7FC6">
            <w:pPr>
              <w:rPr>
                <w:color w:val="000000"/>
                <w:sz w:val="20"/>
                <w:szCs w:val="20"/>
              </w:rPr>
            </w:pPr>
            <w:r w:rsidRPr="0064652A">
              <w:rPr>
                <w:color w:val="000000"/>
                <w:sz w:val="20"/>
                <w:szCs w:val="20"/>
              </w:rPr>
              <w:t>Net (decrease) increase in cash and cash equivalents</w:t>
            </w:r>
          </w:p>
        </w:tc>
        <w:tc>
          <w:tcPr>
            <w:tcW w:w="50" w:type="pct"/>
            <w:tcMar>
              <w:top w:w="5" w:type="dxa"/>
              <w:left w:w="5" w:type="dxa"/>
              <w:bottom w:w="5" w:type="dxa"/>
              <w:right w:w="5" w:type="dxa"/>
            </w:tcMar>
            <w:vAlign w:val="bottom"/>
            <w:hideMark/>
          </w:tcPr>
          <w:p w14:paraId="5C56B94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60DCAF5"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A2FD266" w14:textId="77777777" w:rsidR="00C820B8" w:rsidRPr="0064652A" w:rsidRDefault="008D7FC6">
            <w:pPr>
              <w:jc w:val="right"/>
              <w:rPr>
                <w:color w:val="000000"/>
                <w:sz w:val="20"/>
                <w:szCs w:val="20"/>
              </w:rPr>
            </w:pPr>
            <w:r w:rsidRPr="0064652A">
              <w:rPr>
                <w:color w:val="000000"/>
                <w:sz w:val="20"/>
                <w:szCs w:val="20"/>
              </w:rPr>
              <w:t>(21,631</w:t>
            </w:r>
          </w:p>
        </w:tc>
        <w:tc>
          <w:tcPr>
            <w:tcW w:w="50" w:type="pct"/>
            <w:noWrap/>
            <w:tcMar>
              <w:top w:w="5" w:type="dxa"/>
              <w:left w:w="5" w:type="dxa"/>
              <w:bottom w:w="5" w:type="dxa"/>
              <w:right w:w="5" w:type="dxa"/>
            </w:tcMar>
            <w:vAlign w:val="bottom"/>
            <w:hideMark/>
          </w:tcPr>
          <w:p w14:paraId="77A77223"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6DD295C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2CA1205"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D223257" w14:textId="77777777" w:rsidR="00C820B8" w:rsidRPr="0064652A" w:rsidRDefault="008D7FC6">
            <w:pPr>
              <w:jc w:val="right"/>
              <w:rPr>
                <w:color w:val="000000"/>
                <w:sz w:val="20"/>
                <w:szCs w:val="20"/>
              </w:rPr>
            </w:pPr>
            <w:r w:rsidRPr="0064652A">
              <w:rPr>
                <w:color w:val="000000"/>
                <w:sz w:val="20"/>
                <w:szCs w:val="20"/>
              </w:rPr>
              <w:t>1,718</w:t>
            </w:r>
          </w:p>
        </w:tc>
        <w:tc>
          <w:tcPr>
            <w:tcW w:w="50" w:type="pct"/>
            <w:noWrap/>
            <w:tcMar>
              <w:top w:w="5" w:type="dxa"/>
              <w:left w:w="5" w:type="dxa"/>
              <w:bottom w:w="5" w:type="dxa"/>
              <w:right w:w="5" w:type="dxa"/>
            </w:tcMar>
            <w:vAlign w:val="bottom"/>
            <w:hideMark/>
          </w:tcPr>
          <w:p w14:paraId="03F21C5C" w14:textId="77777777" w:rsidR="00C820B8" w:rsidRPr="0064652A" w:rsidRDefault="008D7FC6">
            <w:pPr>
              <w:rPr>
                <w:color w:val="000000"/>
                <w:sz w:val="20"/>
                <w:szCs w:val="20"/>
              </w:rPr>
            </w:pPr>
            <w:r w:rsidRPr="0064652A">
              <w:rPr>
                <w:color w:val="000000"/>
                <w:sz w:val="20"/>
                <w:szCs w:val="20"/>
              </w:rPr>
              <w:t> </w:t>
            </w:r>
          </w:p>
        </w:tc>
      </w:tr>
      <w:tr w:rsidR="00C820B8" w:rsidRPr="0064652A" w14:paraId="2FC14D3E" w14:textId="77777777">
        <w:tc>
          <w:tcPr>
            <w:tcW w:w="0" w:type="auto"/>
            <w:tcMar>
              <w:top w:w="5" w:type="dxa"/>
              <w:left w:w="5" w:type="dxa"/>
              <w:bottom w:w="5" w:type="dxa"/>
              <w:right w:w="5" w:type="dxa"/>
            </w:tcMar>
            <w:vAlign w:val="bottom"/>
            <w:hideMark/>
          </w:tcPr>
          <w:p w14:paraId="1D9895A0" w14:textId="77777777" w:rsidR="00C820B8" w:rsidRPr="0064652A" w:rsidRDefault="008D7FC6">
            <w:pPr>
              <w:rPr>
                <w:color w:val="000000"/>
                <w:sz w:val="20"/>
                <w:szCs w:val="20"/>
              </w:rPr>
            </w:pPr>
            <w:r w:rsidRPr="0064652A">
              <w:rPr>
                <w:color w:val="000000"/>
                <w:sz w:val="20"/>
                <w:szCs w:val="20"/>
              </w:rPr>
              <w:t>Cash and cash equivalents at beginning of the year</w:t>
            </w:r>
          </w:p>
        </w:tc>
        <w:tc>
          <w:tcPr>
            <w:tcW w:w="50" w:type="pct"/>
            <w:tcMar>
              <w:top w:w="5" w:type="dxa"/>
              <w:left w:w="5" w:type="dxa"/>
              <w:bottom w:w="20" w:type="dxa"/>
              <w:right w:w="5" w:type="dxa"/>
            </w:tcMar>
            <w:vAlign w:val="bottom"/>
            <w:hideMark/>
          </w:tcPr>
          <w:p w14:paraId="01B0E72E"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AA19132"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34C21EE" w14:textId="77777777" w:rsidR="00C820B8" w:rsidRPr="0064652A" w:rsidRDefault="008D7FC6">
            <w:pPr>
              <w:jc w:val="right"/>
              <w:rPr>
                <w:color w:val="000000"/>
                <w:sz w:val="20"/>
                <w:szCs w:val="20"/>
              </w:rPr>
            </w:pPr>
            <w:r w:rsidRPr="0064652A">
              <w:rPr>
                <w:color w:val="000000"/>
                <w:sz w:val="20"/>
                <w:szCs w:val="20"/>
              </w:rPr>
              <w:t>25,268</w:t>
            </w:r>
          </w:p>
        </w:tc>
        <w:tc>
          <w:tcPr>
            <w:tcW w:w="50" w:type="pct"/>
            <w:noWrap/>
            <w:tcMar>
              <w:top w:w="5" w:type="dxa"/>
              <w:left w:w="5" w:type="dxa"/>
              <w:bottom w:w="20" w:type="dxa"/>
              <w:right w:w="5" w:type="dxa"/>
            </w:tcMar>
            <w:vAlign w:val="bottom"/>
            <w:hideMark/>
          </w:tcPr>
          <w:p w14:paraId="3ABE6E1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20" w:type="dxa"/>
              <w:right w:w="5" w:type="dxa"/>
            </w:tcMar>
            <w:vAlign w:val="bottom"/>
            <w:hideMark/>
          </w:tcPr>
          <w:p w14:paraId="369359C1"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DE70752"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310B632" w14:textId="77777777" w:rsidR="00C820B8" w:rsidRPr="0064652A" w:rsidRDefault="008D7FC6">
            <w:pPr>
              <w:jc w:val="right"/>
              <w:rPr>
                <w:color w:val="000000"/>
                <w:sz w:val="20"/>
                <w:szCs w:val="20"/>
              </w:rPr>
            </w:pPr>
            <w:r w:rsidRPr="0064652A">
              <w:rPr>
                <w:color w:val="000000"/>
                <w:sz w:val="20"/>
                <w:szCs w:val="20"/>
              </w:rPr>
              <w:t>25,576</w:t>
            </w:r>
          </w:p>
        </w:tc>
        <w:tc>
          <w:tcPr>
            <w:tcW w:w="50" w:type="pct"/>
            <w:noWrap/>
            <w:tcMar>
              <w:top w:w="5" w:type="dxa"/>
              <w:left w:w="5" w:type="dxa"/>
              <w:bottom w:w="20" w:type="dxa"/>
              <w:right w:w="5" w:type="dxa"/>
            </w:tcMar>
            <w:vAlign w:val="bottom"/>
            <w:hideMark/>
          </w:tcPr>
          <w:p w14:paraId="232A7B1A" w14:textId="77777777" w:rsidR="00C820B8" w:rsidRPr="0064652A" w:rsidRDefault="008D7FC6">
            <w:pPr>
              <w:rPr>
                <w:color w:val="000000"/>
                <w:sz w:val="20"/>
                <w:szCs w:val="20"/>
              </w:rPr>
            </w:pPr>
            <w:r w:rsidRPr="0064652A">
              <w:rPr>
                <w:color w:val="000000"/>
                <w:sz w:val="20"/>
                <w:szCs w:val="20"/>
              </w:rPr>
              <w:t> </w:t>
            </w:r>
          </w:p>
        </w:tc>
      </w:tr>
      <w:tr w:rsidR="00C820B8" w:rsidRPr="0064652A" w14:paraId="1FD5C7D5" w14:textId="77777777">
        <w:tc>
          <w:tcPr>
            <w:tcW w:w="0" w:type="auto"/>
            <w:tcMar>
              <w:top w:w="5" w:type="dxa"/>
              <w:left w:w="5" w:type="dxa"/>
              <w:bottom w:w="5" w:type="dxa"/>
              <w:right w:w="5" w:type="dxa"/>
            </w:tcMar>
            <w:vAlign w:val="bottom"/>
            <w:hideMark/>
          </w:tcPr>
          <w:p w14:paraId="25BD113A" w14:textId="77777777" w:rsidR="00C820B8" w:rsidRPr="0064652A" w:rsidRDefault="008D7FC6">
            <w:pPr>
              <w:rPr>
                <w:color w:val="000000"/>
                <w:sz w:val="20"/>
                <w:szCs w:val="20"/>
              </w:rPr>
            </w:pPr>
            <w:r w:rsidRPr="0064652A">
              <w:rPr>
                <w:color w:val="000000"/>
                <w:sz w:val="20"/>
                <w:szCs w:val="20"/>
              </w:rPr>
              <w:t>Cash and cash equivalents at end of the year</w:t>
            </w:r>
          </w:p>
        </w:tc>
        <w:tc>
          <w:tcPr>
            <w:tcW w:w="50" w:type="pct"/>
            <w:tcMar>
              <w:top w:w="5" w:type="dxa"/>
              <w:left w:w="5" w:type="dxa"/>
              <w:bottom w:w="5" w:type="dxa"/>
              <w:right w:w="5" w:type="dxa"/>
            </w:tcMar>
            <w:vAlign w:val="bottom"/>
            <w:hideMark/>
          </w:tcPr>
          <w:p w14:paraId="614A9F68"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6D2419C" w14:textId="77777777" w:rsidR="00C820B8" w:rsidRPr="0064652A" w:rsidRDefault="008D7FC6">
            <w:pPr>
              <w:rPr>
                <w:color w:val="000000"/>
                <w:sz w:val="20"/>
                <w:szCs w:val="20"/>
              </w:rPr>
            </w:pPr>
            <w:r w:rsidRPr="0064652A">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B2BB591" w14:textId="77777777" w:rsidR="00C820B8" w:rsidRPr="0064652A" w:rsidRDefault="008D7FC6">
            <w:pPr>
              <w:jc w:val="right"/>
              <w:rPr>
                <w:color w:val="000000"/>
                <w:sz w:val="20"/>
                <w:szCs w:val="20"/>
              </w:rPr>
            </w:pPr>
            <w:r w:rsidRPr="0064652A">
              <w:rPr>
                <w:color w:val="000000"/>
                <w:sz w:val="20"/>
                <w:szCs w:val="20"/>
              </w:rPr>
              <w:t>3,637</w:t>
            </w:r>
          </w:p>
        </w:tc>
        <w:tc>
          <w:tcPr>
            <w:tcW w:w="50" w:type="pct"/>
            <w:noWrap/>
            <w:tcMar>
              <w:top w:w="5" w:type="dxa"/>
              <w:left w:w="5" w:type="dxa"/>
              <w:bottom w:w="50" w:type="dxa"/>
              <w:right w:w="5" w:type="dxa"/>
            </w:tcMar>
            <w:vAlign w:val="bottom"/>
            <w:hideMark/>
          </w:tcPr>
          <w:p w14:paraId="66E168D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0801942"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D55DD4D" w14:textId="77777777" w:rsidR="00C820B8" w:rsidRPr="0064652A" w:rsidRDefault="008D7FC6">
            <w:pPr>
              <w:rPr>
                <w:color w:val="000000"/>
                <w:sz w:val="20"/>
                <w:szCs w:val="20"/>
              </w:rPr>
            </w:pPr>
            <w:r w:rsidRPr="0064652A">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217DB91" w14:textId="77777777" w:rsidR="00C820B8" w:rsidRPr="0064652A" w:rsidRDefault="008D7FC6">
            <w:pPr>
              <w:jc w:val="right"/>
              <w:rPr>
                <w:color w:val="000000"/>
                <w:sz w:val="20"/>
                <w:szCs w:val="20"/>
              </w:rPr>
            </w:pPr>
            <w:r w:rsidRPr="0064652A">
              <w:rPr>
                <w:color w:val="000000"/>
                <w:sz w:val="20"/>
                <w:szCs w:val="20"/>
              </w:rPr>
              <w:t>27,294</w:t>
            </w:r>
          </w:p>
        </w:tc>
        <w:tc>
          <w:tcPr>
            <w:tcW w:w="50" w:type="pct"/>
            <w:noWrap/>
            <w:tcMar>
              <w:top w:w="5" w:type="dxa"/>
              <w:left w:w="5" w:type="dxa"/>
              <w:bottom w:w="50" w:type="dxa"/>
              <w:right w:w="5" w:type="dxa"/>
            </w:tcMar>
            <w:vAlign w:val="bottom"/>
            <w:hideMark/>
          </w:tcPr>
          <w:p w14:paraId="484F289C" w14:textId="77777777" w:rsidR="00C820B8" w:rsidRPr="0064652A" w:rsidRDefault="008D7FC6">
            <w:pPr>
              <w:rPr>
                <w:color w:val="000000"/>
                <w:sz w:val="20"/>
                <w:szCs w:val="20"/>
              </w:rPr>
            </w:pPr>
            <w:r w:rsidRPr="0064652A">
              <w:rPr>
                <w:color w:val="000000"/>
                <w:sz w:val="20"/>
                <w:szCs w:val="20"/>
              </w:rPr>
              <w:t> </w:t>
            </w:r>
          </w:p>
        </w:tc>
      </w:tr>
      <w:tr w:rsidR="00C820B8" w:rsidRPr="0064652A" w14:paraId="54FDDABE" w14:textId="77777777">
        <w:tc>
          <w:tcPr>
            <w:tcW w:w="0" w:type="auto"/>
            <w:tcMar>
              <w:top w:w="5" w:type="dxa"/>
              <w:left w:w="5" w:type="dxa"/>
              <w:bottom w:w="5" w:type="dxa"/>
              <w:right w:w="5" w:type="dxa"/>
            </w:tcMar>
            <w:vAlign w:val="bottom"/>
            <w:hideMark/>
          </w:tcPr>
          <w:p w14:paraId="67600414" w14:textId="77777777" w:rsidR="00C820B8" w:rsidRPr="0064652A" w:rsidRDefault="008D7FC6">
            <w:pPr>
              <w:rPr>
                <w:color w:val="000000"/>
                <w:sz w:val="20"/>
                <w:szCs w:val="20"/>
              </w:rPr>
            </w:pPr>
            <w:r w:rsidRPr="0064652A">
              <w:rPr>
                <w:color w:val="000000"/>
                <w:sz w:val="20"/>
                <w:szCs w:val="20"/>
              </w:rPr>
              <w:t>Supplemental disclosures:</w:t>
            </w:r>
          </w:p>
        </w:tc>
        <w:tc>
          <w:tcPr>
            <w:tcW w:w="0" w:type="auto"/>
            <w:tcMar>
              <w:top w:w="5" w:type="dxa"/>
              <w:left w:w="5" w:type="dxa"/>
              <w:bottom w:w="5" w:type="dxa"/>
              <w:right w:w="5" w:type="dxa"/>
            </w:tcMar>
            <w:vAlign w:val="bottom"/>
            <w:hideMark/>
          </w:tcPr>
          <w:p w14:paraId="69895AF7"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5739E8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F968BD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D7FCAA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A8DC20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B5884B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DE75C76"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FD2CC8B" w14:textId="77777777" w:rsidR="00C820B8" w:rsidRPr="0064652A" w:rsidRDefault="008D7FC6">
            <w:pPr>
              <w:rPr>
                <w:color w:val="000000"/>
                <w:sz w:val="20"/>
                <w:szCs w:val="20"/>
              </w:rPr>
            </w:pPr>
            <w:r w:rsidRPr="0064652A">
              <w:rPr>
                <w:color w:val="000000"/>
                <w:sz w:val="20"/>
                <w:szCs w:val="20"/>
              </w:rPr>
              <w:t> </w:t>
            </w:r>
          </w:p>
        </w:tc>
      </w:tr>
      <w:tr w:rsidR="00C820B8" w:rsidRPr="0064652A" w14:paraId="0D7FA769" w14:textId="77777777">
        <w:tc>
          <w:tcPr>
            <w:tcW w:w="0" w:type="auto"/>
            <w:tcMar>
              <w:top w:w="5" w:type="dxa"/>
              <w:left w:w="5" w:type="dxa"/>
              <w:bottom w:w="5" w:type="dxa"/>
              <w:right w:w="5" w:type="dxa"/>
            </w:tcMar>
            <w:vAlign w:val="bottom"/>
            <w:hideMark/>
          </w:tcPr>
          <w:p w14:paraId="29BD9ABE" w14:textId="77777777" w:rsidR="00C820B8" w:rsidRPr="0064652A" w:rsidRDefault="008D7FC6">
            <w:pPr>
              <w:ind w:left="180"/>
              <w:rPr>
                <w:color w:val="000000"/>
                <w:sz w:val="20"/>
                <w:szCs w:val="20"/>
              </w:rPr>
            </w:pPr>
            <w:r w:rsidRPr="0064652A">
              <w:rPr>
                <w:color w:val="000000"/>
                <w:sz w:val="20"/>
                <w:szCs w:val="20"/>
                <w:u w:val="single" w:color="000000"/>
              </w:rPr>
              <w:t>Cash paid for:</w:t>
            </w:r>
          </w:p>
        </w:tc>
        <w:tc>
          <w:tcPr>
            <w:tcW w:w="0" w:type="auto"/>
            <w:tcMar>
              <w:top w:w="5" w:type="dxa"/>
              <w:left w:w="5" w:type="dxa"/>
              <w:bottom w:w="5" w:type="dxa"/>
              <w:right w:w="5" w:type="dxa"/>
            </w:tcMar>
            <w:vAlign w:val="bottom"/>
            <w:hideMark/>
          </w:tcPr>
          <w:p w14:paraId="69E63E3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0ECCF7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7DFF72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61859D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F3C924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1C4BEE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3DD841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420E861" w14:textId="77777777" w:rsidR="00C820B8" w:rsidRPr="0064652A" w:rsidRDefault="008D7FC6">
            <w:pPr>
              <w:rPr>
                <w:color w:val="000000"/>
                <w:sz w:val="20"/>
                <w:szCs w:val="20"/>
              </w:rPr>
            </w:pPr>
            <w:r w:rsidRPr="0064652A">
              <w:rPr>
                <w:color w:val="000000"/>
                <w:sz w:val="20"/>
                <w:szCs w:val="20"/>
              </w:rPr>
              <w:t> </w:t>
            </w:r>
          </w:p>
        </w:tc>
      </w:tr>
      <w:tr w:rsidR="00C820B8" w:rsidRPr="0064652A" w14:paraId="62B6D2A1" w14:textId="77777777">
        <w:tc>
          <w:tcPr>
            <w:tcW w:w="0" w:type="auto"/>
            <w:tcMar>
              <w:top w:w="5" w:type="dxa"/>
              <w:left w:w="5" w:type="dxa"/>
              <w:bottom w:w="5" w:type="dxa"/>
              <w:right w:w="5" w:type="dxa"/>
            </w:tcMar>
            <w:vAlign w:val="bottom"/>
            <w:hideMark/>
          </w:tcPr>
          <w:p w14:paraId="75461646" w14:textId="77777777" w:rsidR="00C820B8" w:rsidRPr="0064652A" w:rsidRDefault="008D7FC6">
            <w:pPr>
              <w:ind w:left="180"/>
              <w:rPr>
                <w:color w:val="000000"/>
                <w:sz w:val="20"/>
                <w:szCs w:val="20"/>
              </w:rPr>
            </w:pPr>
            <w:r w:rsidRPr="0064652A">
              <w:rPr>
                <w:color w:val="000000"/>
                <w:sz w:val="20"/>
                <w:szCs w:val="20"/>
              </w:rPr>
              <w:t>Interest</w:t>
            </w:r>
          </w:p>
        </w:tc>
        <w:tc>
          <w:tcPr>
            <w:tcW w:w="50" w:type="pct"/>
            <w:tcMar>
              <w:top w:w="5" w:type="dxa"/>
              <w:left w:w="5" w:type="dxa"/>
              <w:bottom w:w="5" w:type="dxa"/>
              <w:right w:w="5" w:type="dxa"/>
            </w:tcMar>
            <w:vAlign w:val="bottom"/>
            <w:hideMark/>
          </w:tcPr>
          <w:p w14:paraId="1CD15EF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733D90F"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0B1ACCF3" w14:textId="77777777" w:rsidR="00C820B8" w:rsidRPr="0064652A" w:rsidRDefault="008D7FC6">
            <w:pPr>
              <w:jc w:val="right"/>
              <w:rPr>
                <w:color w:val="000000"/>
                <w:sz w:val="20"/>
                <w:szCs w:val="20"/>
              </w:rPr>
            </w:pPr>
            <w:r w:rsidRPr="0064652A">
              <w:rPr>
                <w:color w:val="000000"/>
                <w:sz w:val="20"/>
                <w:szCs w:val="20"/>
              </w:rPr>
              <w:t>4</w:t>
            </w:r>
          </w:p>
        </w:tc>
        <w:tc>
          <w:tcPr>
            <w:tcW w:w="50" w:type="pct"/>
            <w:noWrap/>
            <w:tcMar>
              <w:top w:w="5" w:type="dxa"/>
              <w:left w:w="5" w:type="dxa"/>
              <w:bottom w:w="5" w:type="dxa"/>
              <w:right w:w="5" w:type="dxa"/>
            </w:tcMar>
            <w:vAlign w:val="bottom"/>
            <w:hideMark/>
          </w:tcPr>
          <w:p w14:paraId="1E35381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AB635A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B3448D1"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5FDA3FFB" w14:textId="77777777" w:rsidR="00C820B8" w:rsidRPr="0064652A" w:rsidRDefault="008D7FC6">
            <w:pPr>
              <w:jc w:val="right"/>
              <w:rPr>
                <w:color w:val="000000"/>
                <w:sz w:val="20"/>
                <w:szCs w:val="20"/>
              </w:rPr>
            </w:pPr>
            <w:r w:rsidRPr="0064652A">
              <w:rPr>
                <w:color w:val="000000"/>
                <w:sz w:val="20"/>
                <w:szCs w:val="20"/>
              </w:rPr>
              <w:t>8</w:t>
            </w:r>
          </w:p>
        </w:tc>
        <w:tc>
          <w:tcPr>
            <w:tcW w:w="50" w:type="pct"/>
            <w:noWrap/>
            <w:tcMar>
              <w:top w:w="5" w:type="dxa"/>
              <w:left w:w="5" w:type="dxa"/>
              <w:bottom w:w="5" w:type="dxa"/>
              <w:right w:w="5" w:type="dxa"/>
            </w:tcMar>
            <w:vAlign w:val="bottom"/>
            <w:hideMark/>
          </w:tcPr>
          <w:p w14:paraId="52D57A04" w14:textId="77777777" w:rsidR="00C820B8" w:rsidRPr="0064652A" w:rsidRDefault="008D7FC6">
            <w:pPr>
              <w:rPr>
                <w:color w:val="000000"/>
                <w:sz w:val="20"/>
                <w:szCs w:val="20"/>
              </w:rPr>
            </w:pPr>
            <w:r w:rsidRPr="0064652A">
              <w:rPr>
                <w:color w:val="000000"/>
                <w:sz w:val="20"/>
                <w:szCs w:val="20"/>
              </w:rPr>
              <w:t> </w:t>
            </w:r>
          </w:p>
        </w:tc>
      </w:tr>
      <w:tr w:rsidR="00C820B8" w:rsidRPr="0064652A" w14:paraId="22828D9A" w14:textId="77777777">
        <w:tc>
          <w:tcPr>
            <w:tcW w:w="0" w:type="auto"/>
            <w:tcMar>
              <w:top w:w="5" w:type="dxa"/>
              <w:left w:w="5" w:type="dxa"/>
              <w:bottom w:w="5" w:type="dxa"/>
              <w:right w:w="5" w:type="dxa"/>
            </w:tcMar>
            <w:vAlign w:val="bottom"/>
            <w:hideMark/>
          </w:tcPr>
          <w:p w14:paraId="1ABB48E7" w14:textId="77777777" w:rsidR="00C820B8" w:rsidRPr="0064652A" w:rsidRDefault="008D7FC6">
            <w:pPr>
              <w:ind w:left="180"/>
              <w:rPr>
                <w:color w:val="000000"/>
                <w:sz w:val="20"/>
                <w:szCs w:val="20"/>
              </w:rPr>
            </w:pPr>
            <w:r w:rsidRPr="0064652A">
              <w:rPr>
                <w:color w:val="000000"/>
                <w:sz w:val="20"/>
                <w:szCs w:val="20"/>
              </w:rPr>
              <w:t>Income taxes</w:t>
            </w:r>
          </w:p>
        </w:tc>
        <w:tc>
          <w:tcPr>
            <w:tcW w:w="50" w:type="pct"/>
            <w:tcMar>
              <w:top w:w="5" w:type="dxa"/>
              <w:left w:w="5" w:type="dxa"/>
              <w:bottom w:w="5" w:type="dxa"/>
              <w:right w:w="5" w:type="dxa"/>
            </w:tcMar>
            <w:vAlign w:val="bottom"/>
            <w:hideMark/>
          </w:tcPr>
          <w:p w14:paraId="1DE8744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9C27227"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33A24D9C" w14:textId="77777777" w:rsidR="00C820B8" w:rsidRPr="0064652A" w:rsidRDefault="008D7FC6">
            <w:pPr>
              <w:jc w:val="right"/>
              <w:rPr>
                <w:color w:val="000000"/>
                <w:sz w:val="20"/>
                <w:szCs w:val="20"/>
              </w:rPr>
            </w:pPr>
            <w:r w:rsidRPr="0064652A">
              <w:rPr>
                <w:color w:val="000000"/>
                <w:sz w:val="20"/>
                <w:szCs w:val="20"/>
              </w:rPr>
              <w:t>401</w:t>
            </w:r>
          </w:p>
        </w:tc>
        <w:tc>
          <w:tcPr>
            <w:tcW w:w="50" w:type="pct"/>
            <w:noWrap/>
            <w:tcMar>
              <w:top w:w="5" w:type="dxa"/>
              <w:left w:w="5" w:type="dxa"/>
              <w:bottom w:w="5" w:type="dxa"/>
              <w:right w:w="5" w:type="dxa"/>
            </w:tcMar>
            <w:vAlign w:val="bottom"/>
            <w:hideMark/>
          </w:tcPr>
          <w:p w14:paraId="748834D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860B7F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17D27C3"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596B38CF" w14:textId="77777777" w:rsidR="00C820B8" w:rsidRPr="0064652A" w:rsidRDefault="008D7FC6">
            <w:pPr>
              <w:jc w:val="right"/>
              <w:rPr>
                <w:color w:val="000000"/>
                <w:sz w:val="20"/>
                <w:szCs w:val="20"/>
              </w:rPr>
            </w:pPr>
            <w:r w:rsidRPr="0064652A">
              <w:rPr>
                <w:color w:val="000000"/>
                <w:sz w:val="20"/>
                <w:szCs w:val="20"/>
              </w:rPr>
              <w:t>205</w:t>
            </w:r>
          </w:p>
        </w:tc>
        <w:tc>
          <w:tcPr>
            <w:tcW w:w="50" w:type="pct"/>
            <w:noWrap/>
            <w:tcMar>
              <w:top w:w="5" w:type="dxa"/>
              <w:left w:w="5" w:type="dxa"/>
              <w:bottom w:w="5" w:type="dxa"/>
              <w:right w:w="5" w:type="dxa"/>
            </w:tcMar>
            <w:vAlign w:val="bottom"/>
            <w:hideMark/>
          </w:tcPr>
          <w:p w14:paraId="016F364B" w14:textId="77777777" w:rsidR="00C820B8" w:rsidRPr="0064652A" w:rsidRDefault="008D7FC6">
            <w:pPr>
              <w:rPr>
                <w:color w:val="000000"/>
                <w:sz w:val="20"/>
                <w:szCs w:val="20"/>
              </w:rPr>
            </w:pPr>
            <w:r w:rsidRPr="0064652A">
              <w:rPr>
                <w:color w:val="000000"/>
                <w:sz w:val="20"/>
                <w:szCs w:val="20"/>
              </w:rPr>
              <w:t> </w:t>
            </w:r>
          </w:p>
        </w:tc>
      </w:tr>
    </w:tbl>
    <w:p w14:paraId="057F02D3" w14:textId="77777777" w:rsidR="00C820B8" w:rsidRPr="0064652A" w:rsidRDefault="008D7FC6">
      <w:pPr>
        <w:rPr>
          <w:sz w:val="20"/>
          <w:szCs w:val="20"/>
        </w:rPr>
      </w:pPr>
      <w:r w:rsidRPr="0064652A">
        <w:rPr>
          <w:sz w:val="20"/>
          <w:szCs w:val="20"/>
        </w:rPr>
        <w:t> </w:t>
      </w:r>
    </w:p>
    <w:p w14:paraId="749C0844" w14:textId="77777777" w:rsidR="00C820B8" w:rsidRPr="0064652A" w:rsidRDefault="008D7FC6">
      <w:pPr>
        <w:jc w:val="center"/>
        <w:rPr>
          <w:sz w:val="20"/>
          <w:szCs w:val="20"/>
        </w:rPr>
      </w:pPr>
      <w:r w:rsidRPr="0064652A">
        <w:rPr>
          <w:sz w:val="20"/>
          <w:szCs w:val="20"/>
        </w:rPr>
        <w:t>The accompanying notes are an integral part of the consolidated financial statements.</w:t>
      </w:r>
    </w:p>
    <w:p w14:paraId="20F61653" w14:textId="77777777" w:rsidR="00C820B8" w:rsidRPr="0064652A" w:rsidRDefault="008D7FC6">
      <w:pPr>
        <w:rPr>
          <w:sz w:val="20"/>
          <w:szCs w:val="20"/>
        </w:rPr>
      </w:pPr>
      <w:r w:rsidRPr="0064652A">
        <w:rPr>
          <w:sz w:val="20"/>
          <w:szCs w:val="20"/>
        </w:rPr>
        <w:t> </w:t>
      </w:r>
    </w:p>
    <w:p w14:paraId="1BC32288" w14:textId="77777777" w:rsidR="00C820B8" w:rsidRPr="0064652A" w:rsidRDefault="008D7FC6">
      <w:pPr>
        <w:jc w:val="center"/>
        <w:rPr>
          <w:sz w:val="20"/>
          <w:szCs w:val="20"/>
        </w:rPr>
      </w:pPr>
      <w:r w:rsidRPr="0064652A">
        <w:rPr>
          <w:sz w:val="20"/>
          <w:szCs w:val="20"/>
        </w:rPr>
        <w:t>5</w:t>
      </w:r>
    </w:p>
    <w:p w14:paraId="28106D9C"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1949C7FA" w14:textId="77777777" w:rsidR="00C820B8" w:rsidRPr="0064652A" w:rsidRDefault="008D7FC6">
      <w:r w:rsidRPr="0064652A">
        <w:t> </w:t>
      </w:r>
    </w:p>
    <w:p w14:paraId="3E896E2E" w14:textId="77777777" w:rsidR="00C820B8" w:rsidRPr="0064652A" w:rsidRDefault="008D7FC6">
      <w:pPr>
        <w:rPr>
          <w:sz w:val="20"/>
          <w:szCs w:val="20"/>
        </w:rPr>
      </w:pPr>
      <w:r w:rsidRPr="0064652A">
        <w:rPr>
          <w:sz w:val="20"/>
          <w:szCs w:val="20"/>
        </w:rPr>
        <w:t> </w:t>
      </w:r>
    </w:p>
    <w:p w14:paraId="3954A291" w14:textId="77777777" w:rsidR="00C820B8" w:rsidRPr="0064652A" w:rsidRDefault="008D7FC6">
      <w:pPr>
        <w:jc w:val="center"/>
        <w:rPr>
          <w:sz w:val="20"/>
          <w:szCs w:val="20"/>
        </w:rPr>
      </w:pPr>
      <w:bookmarkStart w:id="7" w:name="she"/>
      <w:bookmarkEnd w:id="7"/>
      <w:r w:rsidRPr="0064652A">
        <w:rPr>
          <w:b/>
          <w:bCs/>
          <w:sz w:val="20"/>
          <w:szCs w:val="20"/>
        </w:rPr>
        <w:t>EMERSON RADIO CORP. AND</w:t>
      </w:r>
      <w:r w:rsidRPr="0064652A">
        <w:rPr>
          <w:sz w:val="20"/>
          <w:szCs w:val="20"/>
        </w:rPr>
        <w:t> </w:t>
      </w:r>
      <w:r w:rsidRPr="0064652A">
        <w:rPr>
          <w:b/>
          <w:bCs/>
          <w:sz w:val="20"/>
          <w:szCs w:val="20"/>
        </w:rPr>
        <w:t xml:space="preserve">SUBSIDIARIES </w:t>
      </w:r>
    </w:p>
    <w:p w14:paraId="7EED75EE" w14:textId="77777777" w:rsidR="00C820B8" w:rsidRPr="0064652A" w:rsidRDefault="008D7FC6">
      <w:pPr>
        <w:jc w:val="center"/>
        <w:rPr>
          <w:sz w:val="20"/>
          <w:szCs w:val="20"/>
        </w:rPr>
      </w:pPr>
      <w:r w:rsidRPr="0064652A">
        <w:rPr>
          <w:b/>
          <w:bCs/>
          <w:sz w:val="20"/>
          <w:szCs w:val="20"/>
        </w:rPr>
        <w:t>CONSOLIDATED STATEMENTS OF CHANGES IN SHAREHOLDERS</w:t>
      </w:r>
      <w:r w:rsidRPr="0064652A">
        <w:rPr>
          <w:sz w:val="20"/>
          <w:szCs w:val="20"/>
        </w:rPr>
        <w:t>’</w:t>
      </w:r>
      <w:r w:rsidRPr="0064652A">
        <w:rPr>
          <w:b/>
          <w:bCs/>
          <w:sz w:val="20"/>
          <w:szCs w:val="20"/>
        </w:rPr>
        <w:t xml:space="preserve"> EQUITY </w:t>
      </w:r>
    </w:p>
    <w:p w14:paraId="76D222D2" w14:textId="77777777" w:rsidR="00C820B8" w:rsidRPr="0064652A" w:rsidRDefault="008D7FC6">
      <w:pPr>
        <w:jc w:val="center"/>
        <w:rPr>
          <w:sz w:val="20"/>
          <w:szCs w:val="20"/>
        </w:rPr>
      </w:pPr>
      <w:r w:rsidRPr="0064652A">
        <w:rPr>
          <w:b/>
          <w:bCs/>
          <w:sz w:val="20"/>
          <w:szCs w:val="20"/>
        </w:rPr>
        <w:t xml:space="preserve">(Unaudited) </w:t>
      </w:r>
    </w:p>
    <w:p w14:paraId="768EB9C3" w14:textId="77777777" w:rsidR="00C820B8" w:rsidRPr="0064652A" w:rsidRDefault="008D7FC6">
      <w:pPr>
        <w:jc w:val="center"/>
        <w:rPr>
          <w:sz w:val="20"/>
          <w:szCs w:val="20"/>
        </w:rPr>
      </w:pPr>
      <w:r w:rsidRPr="0064652A">
        <w:rPr>
          <w:b/>
          <w:bCs/>
          <w:sz w:val="20"/>
          <w:szCs w:val="20"/>
        </w:rPr>
        <w:t>(In thousands)</w:t>
      </w:r>
    </w:p>
    <w:p w14:paraId="5C796832" w14:textId="77777777" w:rsidR="00C820B8" w:rsidRPr="0064652A" w:rsidRDefault="008D7FC6">
      <w:pPr>
        <w:rPr>
          <w:sz w:val="20"/>
          <w:szCs w:val="20"/>
        </w:rPr>
      </w:pPr>
      <w:r w:rsidRPr="0064652A">
        <w:rPr>
          <w:sz w:val="20"/>
          <w:szCs w:val="20"/>
        </w:rPr>
        <w:t> </w:t>
      </w:r>
    </w:p>
    <w:tbl>
      <w:tblPr>
        <w:tblStyle w:val="finTable"/>
        <w:tblW w:w="5000" w:type="pct"/>
        <w:tblInd w:w="5" w:type="dxa"/>
        <w:tblCellMar>
          <w:left w:w="0" w:type="dxa"/>
          <w:right w:w="0" w:type="dxa"/>
        </w:tblCellMar>
        <w:tblLook w:val="05E0" w:firstRow="1" w:lastRow="1" w:firstColumn="1" w:lastColumn="1" w:noHBand="0" w:noVBand="1"/>
      </w:tblPr>
      <w:tblGrid>
        <w:gridCol w:w="3194"/>
        <w:gridCol w:w="62"/>
        <w:gridCol w:w="111"/>
        <w:gridCol w:w="737"/>
        <w:gridCol w:w="60"/>
        <w:gridCol w:w="60"/>
        <w:gridCol w:w="60"/>
        <w:gridCol w:w="910"/>
        <w:gridCol w:w="60"/>
        <w:gridCol w:w="60"/>
        <w:gridCol w:w="111"/>
        <w:gridCol w:w="699"/>
        <w:gridCol w:w="62"/>
        <w:gridCol w:w="62"/>
        <w:gridCol w:w="116"/>
        <w:gridCol w:w="806"/>
        <w:gridCol w:w="64"/>
        <w:gridCol w:w="64"/>
        <w:gridCol w:w="143"/>
        <w:gridCol w:w="1001"/>
        <w:gridCol w:w="77"/>
        <w:gridCol w:w="60"/>
        <w:gridCol w:w="111"/>
        <w:gridCol w:w="703"/>
        <w:gridCol w:w="77"/>
        <w:gridCol w:w="60"/>
        <w:gridCol w:w="152"/>
        <w:gridCol w:w="1058"/>
        <w:gridCol w:w="60"/>
      </w:tblGrid>
      <w:tr w:rsidR="00C820B8" w:rsidRPr="0064652A" w14:paraId="37B76D96" w14:textId="77777777">
        <w:tc>
          <w:tcPr>
            <w:tcW w:w="0" w:type="auto"/>
            <w:tcMar>
              <w:top w:w="5" w:type="dxa"/>
              <w:left w:w="5" w:type="dxa"/>
              <w:bottom w:w="5" w:type="dxa"/>
              <w:right w:w="5" w:type="dxa"/>
            </w:tcMar>
            <w:vAlign w:val="bottom"/>
            <w:hideMark/>
          </w:tcPr>
          <w:p w14:paraId="389F37D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F2DAEE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69BF3E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7E84419" w14:textId="77777777" w:rsidR="00C820B8" w:rsidRPr="0064652A" w:rsidRDefault="008D7FC6">
            <w:pPr>
              <w:jc w:val="cente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4895DDB"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14E26E2E" w14:textId="77777777" w:rsidR="00C820B8" w:rsidRPr="0064652A" w:rsidRDefault="008D7FC6">
            <w:pPr>
              <w:rPr>
                <w:color w:val="000000"/>
                <w:sz w:val="20"/>
                <w:szCs w:val="20"/>
              </w:rPr>
            </w:pPr>
            <w:r w:rsidRPr="0064652A">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4DA9A976" w14:textId="77777777" w:rsidR="00C820B8" w:rsidRPr="0064652A" w:rsidRDefault="008D7FC6">
            <w:pPr>
              <w:jc w:val="center"/>
              <w:rPr>
                <w:color w:val="000000"/>
                <w:sz w:val="20"/>
                <w:szCs w:val="20"/>
              </w:rPr>
            </w:pPr>
            <w:r w:rsidRPr="0064652A">
              <w:rPr>
                <w:b/>
                <w:bCs/>
                <w:color w:val="000000"/>
                <w:sz w:val="20"/>
                <w:szCs w:val="20"/>
              </w:rPr>
              <w:t>Common Stock</w:t>
            </w:r>
          </w:p>
        </w:tc>
        <w:tc>
          <w:tcPr>
            <w:tcW w:w="0" w:type="auto"/>
            <w:tcMar>
              <w:top w:w="5" w:type="dxa"/>
              <w:left w:w="5" w:type="dxa"/>
              <w:bottom w:w="5" w:type="dxa"/>
              <w:right w:w="5" w:type="dxa"/>
            </w:tcMar>
            <w:vAlign w:val="bottom"/>
            <w:hideMark/>
          </w:tcPr>
          <w:p w14:paraId="00D6EA0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FDD30C3"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73A48C58" w14:textId="77777777" w:rsidR="00C820B8" w:rsidRPr="0064652A" w:rsidRDefault="008D7FC6">
            <w:pPr>
              <w:jc w:val="center"/>
              <w:rPr>
                <w:color w:val="000000"/>
                <w:sz w:val="20"/>
                <w:szCs w:val="20"/>
              </w:rPr>
            </w:pPr>
            <w:r w:rsidRPr="0064652A">
              <w:rPr>
                <w:b/>
                <w:bCs/>
                <w:color w:val="000000"/>
                <w:sz w:val="20"/>
                <w:szCs w:val="20"/>
              </w:rPr>
              <w:t>Additional</w:t>
            </w:r>
          </w:p>
        </w:tc>
        <w:tc>
          <w:tcPr>
            <w:tcW w:w="0" w:type="auto"/>
            <w:tcMar>
              <w:top w:w="5" w:type="dxa"/>
              <w:left w:w="5" w:type="dxa"/>
              <w:bottom w:w="5" w:type="dxa"/>
              <w:right w:w="5" w:type="dxa"/>
            </w:tcMar>
            <w:vAlign w:val="bottom"/>
            <w:hideMark/>
          </w:tcPr>
          <w:p w14:paraId="0AA8F9A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F7EC59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D6F6C6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69F7661" w14:textId="77777777" w:rsidR="00C820B8" w:rsidRPr="0064652A" w:rsidRDefault="008D7FC6">
            <w:pPr>
              <w:jc w:val="cente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E8D267B"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7809FBD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20F926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A6FE929" w14:textId="77777777" w:rsidR="00C820B8" w:rsidRPr="0064652A" w:rsidRDefault="008D7FC6">
            <w:pPr>
              <w:jc w:val="cente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25093C6"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7841F083"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14B4CCC6" w14:textId="77777777" w:rsidR="00C820B8" w:rsidRPr="0064652A" w:rsidRDefault="008D7FC6">
            <w:pPr>
              <w:jc w:val="center"/>
              <w:rPr>
                <w:color w:val="000000"/>
                <w:sz w:val="20"/>
                <w:szCs w:val="20"/>
              </w:rPr>
            </w:pPr>
            <w:r w:rsidRPr="0064652A">
              <w:rPr>
                <w:b/>
                <w:bCs/>
                <w:color w:val="000000"/>
                <w:sz w:val="20"/>
                <w:szCs w:val="20"/>
              </w:rPr>
              <w:t>Total</w:t>
            </w:r>
          </w:p>
        </w:tc>
        <w:tc>
          <w:tcPr>
            <w:tcW w:w="0" w:type="auto"/>
            <w:tcMar>
              <w:top w:w="5" w:type="dxa"/>
              <w:left w:w="5" w:type="dxa"/>
              <w:bottom w:w="5" w:type="dxa"/>
              <w:right w:w="5" w:type="dxa"/>
            </w:tcMar>
            <w:vAlign w:val="bottom"/>
            <w:hideMark/>
          </w:tcPr>
          <w:p w14:paraId="77209314" w14:textId="77777777" w:rsidR="00C820B8" w:rsidRPr="0064652A" w:rsidRDefault="008D7FC6">
            <w:pPr>
              <w:rPr>
                <w:color w:val="000000"/>
                <w:sz w:val="20"/>
                <w:szCs w:val="20"/>
              </w:rPr>
            </w:pPr>
            <w:r w:rsidRPr="0064652A">
              <w:rPr>
                <w:color w:val="000000"/>
                <w:sz w:val="20"/>
                <w:szCs w:val="20"/>
              </w:rPr>
              <w:t> </w:t>
            </w:r>
          </w:p>
        </w:tc>
      </w:tr>
      <w:tr w:rsidR="00C820B8" w:rsidRPr="0064652A" w14:paraId="7F201E5F" w14:textId="77777777">
        <w:tc>
          <w:tcPr>
            <w:tcW w:w="0" w:type="auto"/>
            <w:tcMar>
              <w:top w:w="5" w:type="dxa"/>
              <w:left w:w="5" w:type="dxa"/>
              <w:bottom w:w="5" w:type="dxa"/>
              <w:right w:w="5" w:type="dxa"/>
            </w:tcMar>
            <w:vAlign w:val="bottom"/>
            <w:hideMark/>
          </w:tcPr>
          <w:p w14:paraId="12F3EF2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329A473"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5F9692FD" w14:textId="77777777" w:rsidR="00C820B8" w:rsidRPr="0064652A" w:rsidRDefault="008D7FC6">
            <w:pPr>
              <w:jc w:val="center"/>
              <w:rPr>
                <w:color w:val="000000"/>
                <w:sz w:val="20"/>
                <w:szCs w:val="20"/>
              </w:rPr>
            </w:pPr>
            <w:r w:rsidRPr="0064652A">
              <w:rPr>
                <w:b/>
                <w:bCs/>
                <w:color w:val="000000"/>
                <w:sz w:val="20"/>
                <w:szCs w:val="20"/>
              </w:rPr>
              <w:t>Preferred</w:t>
            </w:r>
          </w:p>
        </w:tc>
        <w:tc>
          <w:tcPr>
            <w:tcW w:w="0" w:type="auto"/>
            <w:tcMar>
              <w:top w:w="5" w:type="dxa"/>
              <w:left w:w="5" w:type="dxa"/>
              <w:bottom w:w="5" w:type="dxa"/>
              <w:right w:w="5" w:type="dxa"/>
            </w:tcMar>
            <w:vAlign w:val="bottom"/>
            <w:hideMark/>
          </w:tcPr>
          <w:p w14:paraId="2E91CB2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A2A74F3"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39D55E74" w14:textId="77777777" w:rsidR="00C820B8" w:rsidRPr="0064652A" w:rsidRDefault="008D7FC6">
            <w:pPr>
              <w:jc w:val="center"/>
              <w:rPr>
                <w:color w:val="000000"/>
                <w:sz w:val="20"/>
                <w:szCs w:val="20"/>
              </w:rPr>
            </w:pPr>
            <w:r w:rsidRPr="0064652A">
              <w:rPr>
                <w:b/>
                <w:bCs/>
                <w:color w:val="000000"/>
                <w:sz w:val="20"/>
                <w:szCs w:val="20"/>
              </w:rPr>
              <w:t>Number</w:t>
            </w:r>
          </w:p>
        </w:tc>
        <w:tc>
          <w:tcPr>
            <w:tcW w:w="0" w:type="auto"/>
            <w:tcMar>
              <w:top w:w="5" w:type="dxa"/>
              <w:left w:w="5" w:type="dxa"/>
              <w:bottom w:w="5" w:type="dxa"/>
              <w:right w:w="5" w:type="dxa"/>
            </w:tcMar>
            <w:vAlign w:val="bottom"/>
            <w:hideMark/>
          </w:tcPr>
          <w:p w14:paraId="4995494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F281688"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3FF54A08" w14:textId="77777777" w:rsidR="00C820B8" w:rsidRPr="0064652A" w:rsidRDefault="008D7FC6">
            <w:pPr>
              <w:jc w:val="center"/>
              <w:rPr>
                <w:color w:val="000000"/>
                <w:sz w:val="20"/>
                <w:szCs w:val="20"/>
              </w:rPr>
            </w:pPr>
            <w:r w:rsidRPr="0064652A">
              <w:rPr>
                <w:b/>
                <w:bCs/>
                <w:color w:val="000000"/>
                <w:sz w:val="20"/>
                <w:szCs w:val="20"/>
              </w:rPr>
              <w:t>Par</w:t>
            </w:r>
          </w:p>
        </w:tc>
        <w:tc>
          <w:tcPr>
            <w:tcW w:w="0" w:type="auto"/>
            <w:tcMar>
              <w:top w:w="5" w:type="dxa"/>
              <w:left w:w="5" w:type="dxa"/>
              <w:bottom w:w="5" w:type="dxa"/>
              <w:right w:w="5" w:type="dxa"/>
            </w:tcMar>
            <w:vAlign w:val="bottom"/>
            <w:hideMark/>
          </w:tcPr>
          <w:p w14:paraId="4025DAA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74289B9"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1EAA2925" w14:textId="77777777" w:rsidR="00C820B8" w:rsidRPr="0064652A" w:rsidRDefault="008D7FC6">
            <w:pPr>
              <w:jc w:val="center"/>
              <w:rPr>
                <w:color w:val="000000"/>
                <w:sz w:val="20"/>
                <w:szCs w:val="20"/>
              </w:rPr>
            </w:pPr>
            <w:r w:rsidRPr="0064652A">
              <w:rPr>
                <w:b/>
                <w:bCs/>
                <w:color w:val="000000"/>
                <w:sz w:val="20"/>
                <w:szCs w:val="20"/>
              </w:rPr>
              <w:t>Paid-In</w:t>
            </w:r>
          </w:p>
        </w:tc>
        <w:tc>
          <w:tcPr>
            <w:tcW w:w="0" w:type="auto"/>
            <w:tcMar>
              <w:top w:w="5" w:type="dxa"/>
              <w:left w:w="5" w:type="dxa"/>
              <w:bottom w:w="5" w:type="dxa"/>
              <w:right w:w="5" w:type="dxa"/>
            </w:tcMar>
            <w:vAlign w:val="bottom"/>
            <w:hideMark/>
          </w:tcPr>
          <w:p w14:paraId="00F926F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1599ABD"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159234E8" w14:textId="77777777" w:rsidR="00C820B8" w:rsidRPr="0064652A" w:rsidRDefault="008D7FC6">
            <w:pPr>
              <w:jc w:val="center"/>
              <w:rPr>
                <w:color w:val="000000"/>
                <w:sz w:val="20"/>
                <w:szCs w:val="20"/>
              </w:rPr>
            </w:pPr>
            <w:r w:rsidRPr="0064652A">
              <w:rPr>
                <w:b/>
                <w:bCs/>
                <w:color w:val="000000"/>
                <w:sz w:val="20"/>
                <w:szCs w:val="20"/>
              </w:rPr>
              <w:t>Accumulated</w:t>
            </w:r>
          </w:p>
        </w:tc>
        <w:tc>
          <w:tcPr>
            <w:tcW w:w="0" w:type="auto"/>
            <w:tcMar>
              <w:top w:w="5" w:type="dxa"/>
              <w:left w:w="5" w:type="dxa"/>
              <w:bottom w:w="5" w:type="dxa"/>
              <w:right w:w="5" w:type="dxa"/>
            </w:tcMar>
            <w:vAlign w:val="bottom"/>
            <w:hideMark/>
          </w:tcPr>
          <w:p w14:paraId="25046B0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58B58C4"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3DD933E4" w14:textId="77777777" w:rsidR="00C820B8" w:rsidRPr="0064652A" w:rsidRDefault="008D7FC6">
            <w:pPr>
              <w:jc w:val="center"/>
              <w:rPr>
                <w:color w:val="000000"/>
                <w:sz w:val="20"/>
                <w:szCs w:val="20"/>
              </w:rPr>
            </w:pPr>
            <w:r w:rsidRPr="0064652A">
              <w:rPr>
                <w:b/>
                <w:bCs/>
                <w:color w:val="000000"/>
                <w:sz w:val="20"/>
                <w:szCs w:val="20"/>
              </w:rPr>
              <w:t>Treasury</w:t>
            </w:r>
          </w:p>
        </w:tc>
        <w:tc>
          <w:tcPr>
            <w:tcW w:w="0" w:type="auto"/>
            <w:tcMar>
              <w:top w:w="5" w:type="dxa"/>
              <w:left w:w="5" w:type="dxa"/>
              <w:bottom w:w="5" w:type="dxa"/>
              <w:right w:w="5" w:type="dxa"/>
            </w:tcMar>
            <w:vAlign w:val="bottom"/>
            <w:hideMark/>
          </w:tcPr>
          <w:p w14:paraId="50A87FC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B39E55A"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2720B086" w14:textId="77777777" w:rsidR="00C820B8" w:rsidRPr="0064652A" w:rsidRDefault="008D7FC6">
            <w:pPr>
              <w:jc w:val="center"/>
              <w:rPr>
                <w:color w:val="000000"/>
                <w:sz w:val="20"/>
                <w:szCs w:val="20"/>
              </w:rPr>
            </w:pPr>
            <w:r w:rsidRPr="0064652A">
              <w:rPr>
                <w:b/>
                <w:bCs/>
                <w:color w:val="000000"/>
                <w:sz w:val="20"/>
                <w:szCs w:val="20"/>
              </w:rPr>
              <w:t>Shareholders’</w:t>
            </w:r>
          </w:p>
        </w:tc>
        <w:tc>
          <w:tcPr>
            <w:tcW w:w="0" w:type="auto"/>
            <w:tcMar>
              <w:top w:w="5" w:type="dxa"/>
              <w:left w:w="5" w:type="dxa"/>
              <w:bottom w:w="5" w:type="dxa"/>
              <w:right w:w="5" w:type="dxa"/>
            </w:tcMar>
            <w:vAlign w:val="bottom"/>
            <w:hideMark/>
          </w:tcPr>
          <w:p w14:paraId="2C20BDDA" w14:textId="77777777" w:rsidR="00C820B8" w:rsidRPr="0064652A" w:rsidRDefault="008D7FC6">
            <w:pPr>
              <w:rPr>
                <w:color w:val="000000"/>
                <w:sz w:val="20"/>
                <w:szCs w:val="20"/>
              </w:rPr>
            </w:pPr>
            <w:r w:rsidRPr="0064652A">
              <w:rPr>
                <w:color w:val="000000"/>
                <w:sz w:val="20"/>
                <w:szCs w:val="20"/>
              </w:rPr>
              <w:t> </w:t>
            </w:r>
          </w:p>
        </w:tc>
      </w:tr>
      <w:tr w:rsidR="00C820B8" w:rsidRPr="0064652A" w14:paraId="35C27341" w14:textId="77777777">
        <w:tc>
          <w:tcPr>
            <w:tcW w:w="0" w:type="auto"/>
            <w:tcMar>
              <w:top w:w="5" w:type="dxa"/>
              <w:left w:w="5" w:type="dxa"/>
              <w:bottom w:w="5" w:type="dxa"/>
              <w:right w:w="5" w:type="dxa"/>
            </w:tcMar>
            <w:vAlign w:val="bottom"/>
            <w:hideMark/>
          </w:tcPr>
          <w:p w14:paraId="0E3A1BF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64FE3DD"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1E58F45" w14:textId="77777777" w:rsidR="00C820B8" w:rsidRPr="0064652A" w:rsidRDefault="008D7FC6">
            <w:pPr>
              <w:jc w:val="center"/>
              <w:rPr>
                <w:color w:val="000000"/>
                <w:sz w:val="20"/>
                <w:szCs w:val="20"/>
              </w:rPr>
            </w:pPr>
            <w:r w:rsidRPr="0064652A">
              <w:rPr>
                <w:b/>
                <w:bCs/>
                <w:color w:val="000000"/>
                <w:sz w:val="20"/>
                <w:szCs w:val="20"/>
              </w:rPr>
              <w:t>Stock</w:t>
            </w:r>
          </w:p>
        </w:tc>
        <w:tc>
          <w:tcPr>
            <w:tcW w:w="0" w:type="auto"/>
            <w:tcMar>
              <w:top w:w="5" w:type="dxa"/>
              <w:left w:w="5" w:type="dxa"/>
              <w:bottom w:w="20" w:type="dxa"/>
              <w:right w:w="5" w:type="dxa"/>
            </w:tcMar>
            <w:vAlign w:val="bottom"/>
            <w:hideMark/>
          </w:tcPr>
          <w:p w14:paraId="7EB618D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AE2E018"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CBBCE5C" w14:textId="77777777" w:rsidR="00C820B8" w:rsidRPr="0064652A" w:rsidRDefault="008D7FC6">
            <w:pPr>
              <w:jc w:val="center"/>
              <w:rPr>
                <w:color w:val="000000"/>
                <w:sz w:val="20"/>
                <w:szCs w:val="20"/>
              </w:rPr>
            </w:pPr>
            <w:r w:rsidRPr="0064652A">
              <w:rPr>
                <w:b/>
                <w:bCs/>
                <w:color w:val="000000"/>
                <w:sz w:val="20"/>
                <w:szCs w:val="20"/>
              </w:rPr>
              <w:t>of Shares</w:t>
            </w:r>
          </w:p>
        </w:tc>
        <w:tc>
          <w:tcPr>
            <w:tcW w:w="0" w:type="auto"/>
            <w:tcMar>
              <w:top w:w="5" w:type="dxa"/>
              <w:left w:w="5" w:type="dxa"/>
              <w:bottom w:w="20" w:type="dxa"/>
              <w:right w:w="5" w:type="dxa"/>
            </w:tcMar>
            <w:vAlign w:val="bottom"/>
            <w:hideMark/>
          </w:tcPr>
          <w:p w14:paraId="2BE890D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40A4847"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9838509" w14:textId="77777777" w:rsidR="00C820B8" w:rsidRPr="0064652A" w:rsidRDefault="008D7FC6">
            <w:pPr>
              <w:jc w:val="center"/>
              <w:rPr>
                <w:color w:val="000000"/>
                <w:sz w:val="20"/>
                <w:szCs w:val="20"/>
              </w:rPr>
            </w:pPr>
            <w:r w:rsidRPr="0064652A">
              <w:rPr>
                <w:b/>
                <w:bCs/>
                <w:color w:val="000000"/>
                <w:sz w:val="20"/>
                <w:szCs w:val="20"/>
              </w:rPr>
              <w:t>Value</w:t>
            </w:r>
          </w:p>
        </w:tc>
        <w:tc>
          <w:tcPr>
            <w:tcW w:w="0" w:type="auto"/>
            <w:tcMar>
              <w:top w:w="5" w:type="dxa"/>
              <w:left w:w="5" w:type="dxa"/>
              <w:bottom w:w="20" w:type="dxa"/>
              <w:right w:w="5" w:type="dxa"/>
            </w:tcMar>
            <w:vAlign w:val="bottom"/>
            <w:hideMark/>
          </w:tcPr>
          <w:p w14:paraId="7593A1C7"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BB244A2"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0FFBFB6" w14:textId="77777777" w:rsidR="00C820B8" w:rsidRPr="0064652A" w:rsidRDefault="008D7FC6">
            <w:pPr>
              <w:jc w:val="center"/>
              <w:rPr>
                <w:color w:val="000000"/>
                <w:sz w:val="20"/>
                <w:szCs w:val="20"/>
              </w:rPr>
            </w:pPr>
            <w:r w:rsidRPr="0064652A">
              <w:rPr>
                <w:b/>
                <w:bCs/>
                <w:color w:val="000000"/>
                <w:sz w:val="20"/>
                <w:szCs w:val="20"/>
              </w:rPr>
              <w:t>Capital</w:t>
            </w:r>
          </w:p>
        </w:tc>
        <w:tc>
          <w:tcPr>
            <w:tcW w:w="0" w:type="auto"/>
            <w:tcMar>
              <w:top w:w="5" w:type="dxa"/>
              <w:left w:w="5" w:type="dxa"/>
              <w:bottom w:w="20" w:type="dxa"/>
              <w:right w:w="5" w:type="dxa"/>
            </w:tcMar>
            <w:vAlign w:val="bottom"/>
            <w:hideMark/>
          </w:tcPr>
          <w:p w14:paraId="2E6A802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6C46776"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7C1F248" w14:textId="77777777" w:rsidR="00C820B8" w:rsidRPr="0064652A" w:rsidRDefault="008D7FC6">
            <w:pPr>
              <w:jc w:val="center"/>
              <w:rPr>
                <w:color w:val="000000"/>
                <w:sz w:val="20"/>
                <w:szCs w:val="20"/>
              </w:rPr>
            </w:pPr>
            <w:r w:rsidRPr="0064652A">
              <w:rPr>
                <w:b/>
                <w:bCs/>
                <w:color w:val="000000"/>
                <w:sz w:val="20"/>
                <w:szCs w:val="20"/>
              </w:rPr>
              <w:t>Deficit</w:t>
            </w:r>
          </w:p>
        </w:tc>
        <w:tc>
          <w:tcPr>
            <w:tcW w:w="0" w:type="auto"/>
            <w:tcMar>
              <w:top w:w="5" w:type="dxa"/>
              <w:left w:w="5" w:type="dxa"/>
              <w:bottom w:w="20" w:type="dxa"/>
              <w:right w:w="5" w:type="dxa"/>
            </w:tcMar>
            <w:vAlign w:val="bottom"/>
            <w:hideMark/>
          </w:tcPr>
          <w:p w14:paraId="66789AE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BDAAB24"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EE45227" w14:textId="77777777" w:rsidR="00C820B8" w:rsidRPr="0064652A" w:rsidRDefault="008D7FC6">
            <w:pPr>
              <w:jc w:val="center"/>
              <w:rPr>
                <w:color w:val="000000"/>
                <w:sz w:val="20"/>
                <w:szCs w:val="20"/>
              </w:rPr>
            </w:pPr>
            <w:r w:rsidRPr="0064652A">
              <w:rPr>
                <w:b/>
                <w:bCs/>
                <w:color w:val="000000"/>
                <w:sz w:val="20"/>
                <w:szCs w:val="20"/>
              </w:rPr>
              <w:t>Stock</w:t>
            </w:r>
          </w:p>
        </w:tc>
        <w:tc>
          <w:tcPr>
            <w:tcW w:w="0" w:type="auto"/>
            <w:tcMar>
              <w:top w:w="5" w:type="dxa"/>
              <w:left w:w="5" w:type="dxa"/>
              <w:bottom w:w="20" w:type="dxa"/>
              <w:right w:w="5" w:type="dxa"/>
            </w:tcMar>
            <w:vAlign w:val="bottom"/>
            <w:hideMark/>
          </w:tcPr>
          <w:p w14:paraId="2830865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89ED88D"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0E6795B" w14:textId="77777777" w:rsidR="00C820B8" w:rsidRPr="0064652A" w:rsidRDefault="008D7FC6">
            <w:pPr>
              <w:jc w:val="center"/>
              <w:rPr>
                <w:color w:val="000000"/>
                <w:sz w:val="20"/>
                <w:szCs w:val="20"/>
              </w:rPr>
            </w:pPr>
            <w:r w:rsidRPr="0064652A">
              <w:rPr>
                <w:b/>
                <w:bCs/>
                <w:color w:val="000000"/>
                <w:sz w:val="20"/>
                <w:szCs w:val="20"/>
              </w:rPr>
              <w:t>Equity</w:t>
            </w:r>
          </w:p>
        </w:tc>
        <w:tc>
          <w:tcPr>
            <w:tcW w:w="0" w:type="auto"/>
            <w:tcMar>
              <w:top w:w="5" w:type="dxa"/>
              <w:left w:w="5" w:type="dxa"/>
              <w:bottom w:w="20" w:type="dxa"/>
              <w:right w:w="5" w:type="dxa"/>
            </w:tcMar>
            <w:vAlign w:val="bottom"/>
            <w:hideMark/>
          </w:tcPr>
          <w:p w14:paraId="14CA73A0" w14:textId="77777777" w:rsidR="00C820B8" w:rsidRPr="0064652A" w:rsidRDefault="008D7FC6">
            <w:pPr>
              <w:rPr>
                <w:color w:val="000000"/>
                <w:sz w:val="20"/>
                <w:szCs w:val="20"/>
              </w:rPr>
            </w:pPr>
            <w:r w:rsidRPr="0064652A">
              <w:rPr>
                <w:color w:val="000000"/>
                <w:sz w:val="20"/>
                <w:szCs w:val="20"/>
              </w:rPr>
              <w:t> </w:t>
            </w:r>
          </w:p>
        </w:tc>
      </w:tr>
      <w:tr w:rsidR="00C820B8" w:rsidRPr="0064652A" w14:paraId="1505FCB6" w14:textId="77777777">
        <w:tc>
          <w:tcPr>
            <w:tcW w:w="1500" w:type="pct"/>
            <w:tcMar>
              <w:top w:w="5" w:type="dxa"/>
              <w:left w:w="5" w:type="dxa"/>
              <w:bottom w:w="5" w:type="dxa"/>
              <w:right w:w="5" w:type="dxa"/>
            </w:tcMar>
            <w:vAlign w:val="bottom"/>
            <w:hideMark/>
          </w:tcPr>
          <w:p w14:paraId="7FCC4BF1" w14:textId="77777777" w:rsidR="00C820B8" w:rsidRPr="0064652A" w:rsidRDefault="008D7FC6">
            <w:pPr>
              <w:rPr>
                <w:color w:val="000000"/>
                <w:sz w:val="20"/>
                <w:szCs w:val="20"/>
              </w:rPr>
            </w:pPr>
            <w:r w:rsidRPr="0064652A">
              <w:rPr>
                <w:color w:val="000000"/>
                <w:sz w:val="20"/>
                <w:szCs w:val="20"/>
              </w:rPr>
              <w:t>Balance — March 31, 2023</w:t>
            </w:r>
          </w:p>
        </w:tc>
        <w:tc>
          <w:tcPr>
            <w:tcW w:w="50" w:type="pct"/>
            <w:tcMar>
              <w:top w:w="5" w:type="dxa"/>
              <w:left w:w="5" w:type="dxa"/>
              <w:bottom w:w="5" w:type="dxa"/>
              <w:right w:w="5" w:type="dxa"/>
            </w:tcMar>
            <w:vAlign w:val="bottom"/>
            <w:hideMark/>
          </w:tcPr>
          <w:p w14:paraId="5B8A59C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5A22F08"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19F331A8" w14:textId="77777777" w:rsidR="00C820B8" w:rsidRPr="0064652A" w:rsidRDefault="008D7FC6">
            <w:pPr>
              <w:jc w:val="right"/>
              <w:rPr>
                <w:color w:val="000000"/>
                <w:sz w:val="20"/>
                <w:szCs w:val="20"/>
              </w:rPr>
            </w:pPr>
            <w:r w:rsidRPr="0064652A">
              <w:rPr>
                <w:color w:val="000000"/>
                <w:sz w:val="20"/>
                <w:szCs w:val="20"/>
              </w:rPr>
              <w:t>3,310</w:t>
            </w:r>
          </w:p>
        </w:tc>
        <w:tc>
          <w:tcPr>
            <w:tcW w:w="50" w:type="pct"/>
            <w:noWrap/>
            <w:tcMar>
              <w:top w:w="5" w:type="dxa"/>
              <w:left w:w="5" w:type="dxa"/>
              <w:bottom w:w="5" w:type="dxa"/>
              <w:right w:w="5" w:type="dxa"/>
            </w:tcMar>
            <w:vAlign w:val="bottom"/>
            <w:hideMark/>
          </w:tcPr>
          <w:p w14:paraId="21C4B52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26658B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B65F2CA" w14:textId="77777777" w:rsidR="00C820B8" w:rsidRPr="0064652A" w:rsidRDefault="008D7FC6">
            <w:pPr>
              <w:rPr>
                <w:color w:val="000000"/>
                <w:sz w:val="20"/>
                <w:szCs w:val="20"/>
              </w:rPr>
            </w:pPr>
            <w:r w:rsidRPr="0064652A">
              <w:rPr>
                <w:color w:val="000000"/>
                <w:sz w:val="20"/>
                <w:szCs w:val="20"/>
              </w:rPr>
              <w:t> </w:t>
            </w:r>
          </w:p>
        </w:tc>
        <w:tc>
          <w:tcPr>
            <w:tcW w:w="350" w:type="pct"/>
            <w:tcMar>
              <w:top w:w="5" w:type="dxa"/>
              <w:left w:w="5" w:type="dxa"/>
              <w:bottom w:w="5" w:type="dxa"/>
              <w:right w:w="5" w:type="dxa"/>
            </w:tcMar>
            <w:vAlign w:val="bottom"/>
            <w:hideMark/>
          </w:tcPr>
          <w:p w14:paraId="112023D3" w14:textId="77777777" w:rsidR="00C820B8" w:rsidRPr="0064652A" w:rsidRDefault="008D7FC6">
            <w:pPr>
              <w:jc w:val="right"/>
              <w:rPr>
                <w:color w:val="000000"/>
                <w:sz w:val="20"/>
                <w:szCs w:val="20"/>
              </w:rPr>
            </w:pPr>
            <w:r w:rsidRPr="0064652A">
              <w:rPr>
                <w:color w:val="000000"/>
                <w:sz w:val="20"/>
                <w:szCs w:val="20"/>
              </w:rPr>
              <w:t>52,965,797</w:t>
            </w:r>
          </w:p>
        </w:tc>
        <w:tc>
          <w:tcPr>
            <w:tcW w:w="50" w:type="pct"/>
            <w:noWrap/>
            <w:tcMar>
              <w:top w:w="5" w:type="dxa"/>
              <w:left w:w="5" w:type="dxa"/>
              <w:bottom w:w="5" w:type="dxa"/>
              <w:right w:w="5" w:type="dxa"/>
            </w:tcMar>
            <w:vAlign w:val="bottom"/>
            <w:hideMark/>
          </w:tcPr>
          <w:p w14:paraId="190B139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8FC768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85CFD7A"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52750DA2" w14:textId="77777777" w:rsidR="00C820B8" w:rsidRPr="0064652A" w:rsidRDefault="008D7FC6">
            <w:pPr>
              <w:jc w:val="right"/>
              <w:rPr>
                <w:color w:val="000000"/>
                <w:sz w:val="20"/>
                <w:szCs w:val="20"/>
              </w:rPr>
            </w:pPr>
            <w:r w:rsidRPr="0064652A">
              <w:rPr>
                <w:color w:val="000000"/>
                <w:sz w:val="20"/>
                <w:szCs w:val="20"/>
              </w:rPr>
              <w:t>529</w:t>
            </w:r>
          </w:p>
        </w:tc>
        <w:tc>
          <w:tcPr>
            <w:tcW w:w="50" w:type="pct"/>
            <w:noWrap/>
            <w:tcMar>
              <w:top w:w="5" w:type="dxa"/>
              <w:left w:w="5" w:type="dxa"/>
              <w:bottom w:w="5" w:type="dxa"/>
              <w:right w:w="5" w:type="dxa"/>
            </w:tcMar>
            <w:vAlign w:val="bottom"/>
            <w:hideMark/>
          </w:tcPr>
          <w:p w14:paraId="6F98D14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4A23B7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ECFD23D"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35C16D17" w14:textId="77777777" w:rsidR="00C820B8" w:rsidRPr="0064652A" w:rsidRDefault="008D7FC6">
            <w:pPr>
              <w:jc w:val="right"/>
              <w:rPr>
                <w:color w:val="000000"/>
                <w:sz w:val="20"/>
                <w:szCs w:val="20"/>
              </w:rPr>
            </w:pPr>
            <w:r w:rsidRPr="0064652A">
              <w:rPr>
                <w:color w:val="000000"/>
                <w:sz w:val="20"/>
                <w:szCs w:val="20"/>
              </w:rPr>
              <w:t>79,792</w:t>
            </w:r>
          </w:p>
        </w:tc>
        <w:tc>
          <w:tcPr>
            <w:tcW w:w="50" w:type="pct"/>
            <w:noWrap/>
            <w:tcMar>
              <w:top w:w="5" w:type="dxa"/>
              <w:left w:w="5" w:type="dxa"/>
              <w:bottom w:w="5" w:type="dxa"/>
              <w:right w:w="5" w:type="dxa"/>
            </w:tcMar>
            <w:vAlign w:val="bottom"/>
            <w:hideMark/>
          </w:tcPr>
          <w:p w14:paraId="5882D9C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EEA947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84F8BBF"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1EB126C2" w14:textId="77777777" w:rsidR="00C820B8" w:rsidRPr="0064652A" w:rsidRDefault="008D7FC6">
            <w:pPr>
              <w:jc w:val="right"/>
              <w:rPr>
                <w:color w:val="000000"/>
                <w:sz w:val="20"/>
                <w:szCs w:val="20"/>
              </w:rPr>
            </w:pPr>
            <w:r w:rsidRPr="0064652A">
              <w:rPr>
                <w:color w:val="000000"/>
                <w:sz w:val="20"/>
                <w:szCs w:val="20"/>
              </w:rPr>
              <w:t>(24,971</w:t>
            </w:r>
          </w:p>
        </w:tc>
        <w:tc>
          <w:tcPr>
            <w:tcW w:w="50" w:type="pct"/>
            <w:noWrap/>
            <w:tcMar>
              <w:top w:w="5" w:type="dxa"/>
              <w:left w:w="5" w:type="dxa"/>
              <w:bottom w:w="5" w:type="dxa"/>
              <w:right w:w="5" w:type="dxa"/>
            </w:tcMar>
            <w:vAlign w:val="bottom"/>
            <w:hideMark/>
          </w:tcPr>
          <w:p w14:paraId="0D28AA6F"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6C1F228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17BF2A8"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0B18BC46" w14:textId="77777777" w:rsidR="00C820B8" w:rsidRPr="0064652A" w:rsidRDefault="008D7FC6">
            <w:pPr>
              <w:jc w:val="right"/>
              <w:rPr>
                <w:color w:val="000000"/>
                <w:sz w:val="20"/>
                <w:szCs w:val="20"/>
              </w:rPr>
            </w:pPr>
            <w:r w:rsidRPr="0064652A">
              <w:rPr>
                <w:color w:val="000000"/>
                <w:sz w:val="20"/>
                <w:szCs w:val="20"/>
              </w:rPr>
              <w:t>(33,201</w:t>
            </w:r>
          </w:p>
        </w:tc>
        <w:tc>
          <w:tcPr>
            <w:tcW w:w="50" w:type="pct"/>
            <w:noWrap/>
            <w:tcMar>
              <w:top w:w="5" w:type="dxa"/>
              <w:left w:w="5" w:type="dxa"/>
              <w:bottom w:w="5" w:type="dxa"/>
              <w:right w:w="5" w:type="dxa"/>
            </w:tcMar>
            <w:vAlign w:val="bottom"/>
            <w:hideMark/>
          </w:tcPr>
          <w:p w14:paraId="4EFB8779"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2288FB3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C1A75CC"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1E2606E0" w14:textId="77777777" w:rsidR="00C820B8" w:rsidRPr="0064652A" w:rsidRDefault="008D7FC6">
            <w:pPr>
              <w:jc w:val="right"/>
              <w:rPr>
                <w:color w:val="000000"/>
                <w:sz w:val="20"/>
                <w:szCs w:val="20"/>
              </w:rPr>
            </w:pPr>
            <w:r w:rsidRPr="0064652A">
              <w:rPr>
                <w:color w:val="000000"/>
                <w:sz w:val="20"/>
                <w:szCs w:val="20"/>
              </w:rPr>
              <w:t>25,459</w:t>
            </w:r>
          </w:p>
        </w:tc>
        <w:tc>
          <w:tcPr>
            <w:tcW w:w="50" w:type="pct"/>
            <w:noWrap/>
            <w:tcMar>
              <w:top w:w="5" w:type="dxa"/>
              <w:left w:w="5" w:type="dxa"/>
              <w:bottom w:w="5" w:type="dxa"/>
              <w:right w:w="5" w:type="dxa"/>
            </w:tcMar>
            <w:vAlign w:val="bottom"/>
            <w:hideMark/>
          </w:tcPr>
          <w:p w14:paraId="33E28B47" w14:textId="77777777" w:rsidR="00C820B8" w:rsidRPr="0064652A" w:rsidRDefault="008D7FC6">
            <w:pPr>
              <w:rPr>
                <w:color w:val="000000"/>
                <w:sz w:val="20"/>
                <w:szCs w:val="20"/>
              </w:rPr>
            </w:pPr>
            <w:r w:rsidRPr="0064652A">
              <w:rPr>
                <w:color w:val="000000"/>
                <w:sz w:val="20"/>
                <w:szCs w:val="20"/>
              </w:rPr>
              <w:t> </w:t>
            </w:r>
          </w:p>
        </w:tc>
      </w:tr>
      <w:tr w:rsidR="00C820B8" w:rsidRPr="0064652A" w14:paraId="30846DA2" w14:textId="77777777">
        <w:tc>
          <w:tcPr>
            <w:tcW w:w="0" w:type="auto"/>
            <w:tcMar>
              <w:top w:w="5" w:type="dxa"/>
              <w:left w:w="5" w:type="dxa"/>
              <w:bottom w:w="5" w:type="dxa"/>
              <w:right w:w="5" w:type="dxa"/>
            </w:tcMar>
            <w:vAlign w:val="bottom"/>
            <w:hideMark/>
          </w:tcPr>
          <w:p w14:paraId="21BC8465" w14:textId="77777777" w:rsidR="00C820B8" w:rsidRPr="0064652A" w:rsidRDefault="008D7FC6">
            <w:pPr>
              <w:rPr>
                <w:color w:val="000000"/>
                <w:sz w:val="20"/>
                <w:szCs w:val="20"/>
              </w:rPr>
            </w:pPr>
            <w:r w:rsidRPr="0064652A">
              <w:rPr>
                <w:color w:val="000000"/>
                <w:sz w:val="20"/>
                <w:szCs w:val="20"/>
              </w:rPr>
              <w:t>Net income</w:t>
            </w:r>
          </w:p>
        </w:tc>
        <w:tc>
          <w:tcPr>
            <w:tcW w:w="50" w:type="pct"/>
            <w:tcMar>
              <w:top w:w="5" w:type="dxa"/>
              <w:left w:w="5" w:type="dxa"/>
              <w:bottom w:w="5" w:type="dxa"/>
              <w:right w:w="5" w:type="dxa"/>
            </w:tcMar>
            <w:vAlign w:val="bottom"/>
            <w:hideMark/>
          </w:tcPr>
          <w:p w14:paraId="582FEBF5"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17C0AF8" w14:textId="77777777" w:rsidR="00C820B8" w:rsidRPr="0064652A" w:rsidRDefault="008D7FC6">
            <w:pPr>
              <w:rPr>
                <w:color w:val="000000"/>
                <w:sz w:val="20"/>
                <w:szCs w:val="20"/>
              </w:rPr>
            </w:pPr>
            <w:r w:rsidRPr="0064652A">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4EBD9453"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59F011E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9EB1438"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A73919D" w14:textId="77777777" w:rsidR="00C820B8" w:rsidRPr="0064652A" w:rsidRDefault="008D7FC6">
            <w:pPr>
              <w:rPr>
                <w:color w:val="000000"/>
                <w:sz w:val="20"/>
                <w:szCs w:val="20"/>
              </w:rPr>
            </w:pPr>
            <w:r w:rsidRPr="0064652A">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3EA63C1B"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0A5CAC4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049084A"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CCFCE15" w14:textId="77777777" w:rsidR="00C820B8" w:rsidRPr="0064652A" w:rsidRDefault="008D7FC6">
            <w:pPr>
              <w:rPr>
                <w:color w:val="000000"/>
                <w:sz w:val="20"/>
                <w:szCs w:val="20"/>
              </w:rPr>
            </w:pPr>
            <w:r w:rsidRPr="0064652A">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3B21D53E"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1BFE8EA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FB3826D"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49F3655" w14:textId="77777777" w:rsidR="00C820B8" w:rsidRPr="0064652A" w:rsidRDefault="008D7FC6">
            <w:pPr>
              <w:rPr>
                <w:color w:val="000000"/>
                <w:sz w:val="20"/>
                <w:szCs w:val="20"/>
              </w:rPr>
            </w:pPr>
            <w:r w:rsidRPr="0064652A">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1AF45790"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2ACFEC6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5AC2081"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767B17B" w14:textId="77777777" w:rsidR="00C820B8" w:rsidRPr="0064652A" w:rsidRDefault="008D7FC6">
            <w:pPr>
              <w:rPr>
                <w:color w:val="000000"/>
                <w:sz w:val="20"/>
                <w:szCs w:val="20"/>
              </w:rPr>
            </w:pPr>
            <w:r w:rsidRPr="0064652A">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20109380" w14:textId="77777777" w:rsidR="00C820B8" w:rsidRPr="0064652A" w:rsidRDefault="008D7FC6">
            <w:pPr>
              <w:jc w:val="right"/>
              <w:rPr>
                <w:color w:val="000000"/>
                <w:sz w:val="20"/>
                <w:szCs w:val="20"/>
              </w:rPr>
            </w:pPr>
            <w:r w:rsidRPr="0064652A">
              <w:rPr>
                <w:color w:val="000000"/>
                <w:sz w:val="20"/>
                <w:szCs w:val="20"/>
              </w:rPr>
              <w:t>1,649</w:t>
            </w:r>
          </w:p>
        </w:tc>
        <w:tc>
          <w:tcPr>
            <w:tcW w:w="50" w:type="pct"/>
            <w:noWrap/>
            <w:tcMar>
              <w:top w:w="5" w:type="dxa"/>
              <w:left w:w="5" w:type="dxa"/>
              <w:bottom w:w="20" w:type="dxa"/>
              <w:right w:w="5" w:type="dxa"/>
            </w:tcMar>
            <w:vAlign w:val="bottom"/>
            <w:hideMark/>
          </w:tcPr>
          <w:p w14:paraId="36F76AD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CCAB609"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7B661BF" w14:textId="77777777" w:rsidR="00C820B8" w:rsidRPr="0064652A" w:rsidRDefault="008D7FC6">
            <w:pPr>
              <w:rPr>
                <w:color w:val="000000"/>
                <w:sz w:val="20"/>
                <w:szCs w:val="20"/>
              </w:rPr>
            </w:pPr>
            <w:r w:rsidRPr="0064652A">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4AD09422"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3ECFBB9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25C3E29"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7C98E79" w14:textId="77777777" w:rsidR="00C820B8" w:rsidRPr="0064652A" w:rsidRDefault="008D7FC6">
            <w:pPr>
              <w:rPr>
                <w:color w:val="000000"/>
                <w:sz w:val="20"/>
                <w:szCs w:val="20"/>
              </w:rPr>
            </w:pPr>
            <w:r w:rsidRPr="0064652A">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3A6BA128" w14:textId="77777777" w:rsidR="00C820B8" w:rsidRPr="0064652A" w:rsidRDefault="008D7FC6">
            <w:pPr>
              <w:jc w:val="right"/>
              <w:rPr>
                <w:color w:val="000000"/>
                <w:sz w:val="20"/>
                <w:szCs w:val="20"/>
              </w:rPr>
            </w:pPr>
            <w:r w:rsidRPr="0064652A">
              <w:rPr>
                <w:color w:val="000000"/>
                <w:sz w:val="20"/>
                <w:szCs w:val="20"/>
              </w:rPr>
              <w:t>1,649</w:t>
            </w:r>
          </w:p>
        </w:tc>
        <w:tc>
          <w:tcPr>
            <w:tcW w:w="50" w:type="pct"/>
            <w:noWrap/>
            <w:tcMar>
              <w:top w:w="5" w:type="dxa"/>
              <w:left w:w="5" w:type="dxa"/>
              <w:bottom w:w="20" w:type="dxa"/>
              <w:right w:w="5" w:type="dxa"/>
            </w:tcMar>
            <w:vAlign w:val="bottom"/>
            <w:hideMark/>
          </w:tcPr>
          <w:p w14:paraId="4E125645" w14:textId="77777777" w:rsidR="00C820B8" w:rsidRPr="0064652A" w:rsidRDefault="008D7FC6">
            <w:pPr>
              <w:rPr>
                <w:color w:val="000000"/>
                <w:sz w:val="20"/>
                <w:szCs w:val="20"/>
              </w:rPr>
            </w:pPr>
            <w:r w:rsidRPr="0064652A">
              <w:rPr>
                <w:color w:val="000000"/>
                <w:sz w:val="20"/>
                <w:szCs w:val="20"/>
              </w:rPr>
              <w:t> </w:t>
            </w:r>
          </w:p>
        </w:tc>
      </w:tr>
      <w:tr w:rsidR="00C820B8" w:rsidRPr="0064652A" w14:paraId="6A6E1091" w14:textId="77777777">
        <w:tc>
          <w:tcPr>
            <w:tcW w:w="0" w:type="auto"/>
            <w:tcMar>
              <w:top w:w="5" w:type="dxa"/>
              <w:left w:w="5" w:type="dxa"/>
              <w:bottom w:w="5" w:type="dxa"/>
              <w:right w:w="5" w:type="dxa"/>
            </w:tcMar>
            <w:vAlign w:val="bottom"/>
            <w:hideMark/>
          </w:tcPr>
          <w:p w14:paraId="636EAE26" w14:textId="77777777" w:rsidR="00C820B8" w:rsidRPr="0064652A" w:rsidRDefault="008D7FC6">
            <w:pPr>
              <w:rPr>
                <w:color w:val="000000"/>
                <w:sz w:val="20"/>
                <w:szCs w:val="20"/>
              </w:rPr>
            </w:pPr>
            <w:r w:rsidRPr="0064652A">
              <w:rPr>
                <w:color w:val="000000"/>
                <w:sz w:val="20"/>
                <w:szCs w:val="20"/>
              </w:rPr>
              <w:t>Balance — December 31, 2023</w:t>
            </w:r>
          </w:p>
        </w:tc>
        <w:tc>
          <w:tcPr>
            <w:tcW w:w="50" w:type="pct"/>
            <w:tcMar>
              <w:top w:w="5" w:type="dxa"/>
              <w:left w:w="5" w:type="dxa"/>
              <w:bottom w:w="5" w:type="dxa"/>
              <w:right w:w="5" w:type="dxa"/>
            </w:tcMar>
            <w:vAlign w:val="bottom"/>
            <w:hideMark/>
          </w:tcPr>
          <w:p w14:paraId="281BE0E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08F52AF"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2563E4D5" w14:textId="77777777" w:rsidR="00C820B8" w:rsidRPr="0064652A" w:rsidRDefault="008D7FC6">
            <w:pPr>
              <w:jc w:val="right"/>
              <w:rPr>
                <w:color w:val="000000"/>
                <w:sz w:val="20"/>
                <w:szCs w:val="20"/>
              </w:rPr>
            </w:pPr>
            <w:r w:rsidRPr="0064652A">
              <w:rPr>
                <w:color w:val="000000"/>
                <w:sz w:val="20"/>
                <w:szCs w:val="20"/>
              </w:rPr>
              <w:t>3,310</w:t>
            </w:r>
          </w:p>
        </w:tc>
        <w:tc>
          <w:tcPr>
            <w:tcW w:w="50" w:type="pct"/>
            <w:noWrap/>
            <w:tcMar>
              <w:top w:w="5" w:type="dxa"/>
              <w:left w:w="5" w:type="dxa"/>
              <w:bottom w:w="5" w:type="dxa"/>
              <w:right w:w="5" w:type="dxa"/>
            </w:tcMar>
            <w:vAlign w:val="bottom"/>
            <w:hideMark/>
          </w:tcPr>
          <w:p w14:paraId="044E906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5059A4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2FC62BE" w14:textId="77777777" w:rsidR="00C820B8" w:rsidRPr="0064652A" w:rsidRDefault="008D7FC6">
            <w:pPr>
              <w:rPr>
                <w:color w:val="000000"/>
                <w:sz w:val="20"/>
                <w:szCs w:val="20"/>
              </w:rPr>
            </w:pPr>
            <w:r w:rsidRPr="0064652A">
              <w:rPr>
                <w:color w:val="000000"/>
                <w:sz w:val="20"/>
                <w:szCs w:val="20"/>
              </w:rPr>
              <w:t> </w:t>
            </w:r>
          </w:p>
        </w:tc>
        <w:tc>
          <w:tcPr>
            <w:tcW w:w="350" w:type="pct"/>
            <w:tcMar>
              <w:top w:w="5" w:type="dxa"/>
              <w:left w:w="5" w:type="dxa"/>
              <w:bottom w:w="5" w:type="dxa"/>
              <w:right w:w="5" w:type="dxa"/>
            </w:tcMar>
            <w:vAlign w:val="bottom"/>
            <w:hideMark/>
          </w:tcPr>
          <w:p w14:paraId="376501C5" w14:textId="77777777" w:rsidR="00C820B8" w:rsidRPr="0064652A" w:rsidRDefault="008D7FC6">
            <w:pPr>
              <w:jc w:val="right"/>
              <w:rPr>
                <w:color w:val="000000"/>
                <w:sz w:val="20"/>
                <w:szCs w:val="20"/>
              </w:rPr>
            </w:pPr>
            <w:r w:rsidRPr="0064652A">
              <w:rPr>
                <w:color w:val="000000"/>
                <w:sz w:val="20"/>
                <w:szCs w:val="20"/>
              </w:rPr>
              <w:t>52,965,797</w:t>
            </w:r>
          </w:p>
        </w:tc>
        <w:tc>
          <w:tcPr>
            <w:tcW w:w="50" w:type="pct"/>
            <w:noWrap/>
            <w:tcMar>
              <w:top w:w="5" w:type="dxa"/>
              <w:left w:w="5" w:type="dxa"/>
              <w:bottom w:w="5" w:type="dxa"/>
              <w:right w:w="5" w:type="dxa"/>
            </w:tcMar>
            <w:vAlign w:val="bottom"/>
            <w:hideMark/>
          </w:tcPr>
          <w:p w14:paraId="3901A7E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F9216E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284EC7C"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70715212" w14:textId="77777777" w:rsidR="00C820B8" w:rsidRPr="0064652A" w:rsidRDefault="008D7FC6">
            <w:pPr>
              <w:jc w:val="right"/>
              <w:rPr>
                <w:color w:val="000000"/>
                <w:sz w:val="20"/>
                <w:szCs w:val="20"/>
              </w:rPr>
            </w:pPr>
            <w:r w:rsidRPr="0064652A">
              <w:rPr>
                <w:color w:val="000000"/>
                <w:sz w:val="20"/>
                <w:szCs w:val="20"/>
              </w:rPr>
              <w:t>529</w:t>
            </w:r>
          </w:p>
        </w:tc>
        <w:tc>
          <w:tcPr>
            <w:tcW w:w="50" w:type="pct"/>
            <w:noWrap/>
            <w:tcMar>
              <w:top w:w="5" w:type="dxa"/>
              <w:left w:w="5" w:type="dxa"/>
              <w:bottom w:w="5" w:type="dxa"/>
              <w:right w:w="5" w:type="dxa"/>
            </w:tcMar>
            <w:vAlign w:val="bottom"/>
            <w:hideMark/>
          </w:tcPr>
          <w:p w14:paraId="466674A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395E4B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874F7BC"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0A50AF4E" w14:textId="77777777" w:rsidR="00C820B8" w:rsidRPr="0064652A" w:rsidRDefault="008D7FC6">
            <w:pPr>
              <w:jc w:val="right"/>
              <w:rPr>
                <w:color w:val="000000"/>
                <w:sz w:val="20"/>
                <w:szCs w:val="20"/>
              </w:rPr>
            </w:pPr>
            <w:r w:rsidRPr="0064652A">
              <w:rPr>
                <w:color w:val="000000"/>
                <w:sz w:val="20"/>
                <w:szCs w:val="20"/>
              </w:rPr>
              <w:t>79,792</w:t>
            </w:r>
          </w:p>
        </w:tc>
        <w:tc>
          <w:tcPr>
            <w:tcW w:w="50" w:type="pct"/>
            <w:noWrap/>
            <w:tcMar>
              <w:top w:w="5" w:type="dxa"/>
              <w:left w:w="5" w:type="dxa"/>
              <w:bottom w:w="5" w:type="dxa"/>
              <w:right w:w="5" w:type="dxa"/>
            </w:tcMar>
            <w:vAlign w:val="bottom"/>
            <w:hideMark/>
          </w:tcPr>
          <w:p w14:paraId="54620C2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079966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38AC906"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5E4ED773" w14:textId="77777777" w:rsidR="00C820B8" w:rsidRPr="0064652A" w:rsidRDefault="008D7FC6">
            <w:pPr>
              <w:jc w:val="right"/>
              <w:rPr>
                <w:color w:val="000000"/>
                <w:sz w:val="20"/>
                <w:szCs w:val="20"/>
              </w:rPr>
            </w:pPr>
            <w:r w:rsidRPr="0064652A">
              <w:rPr>
                <w:color w:val="000000"/>
                <w:sz w:val="20"/>
                <w:szCs w:val="20"/>
              </w:rPr>
              <w:t>(23,322</w:t>
            </w:r>
          </w:p>
        </w:tc>
        <w:tc>
          <w:tcPr>
            <w:tcW w:w="50" w:type="pct"/>
            <w:noWrap/>
            <w:tcMar>
              <w:top w:w="5" w:type="dxa"/>
              <w:left w:w="5" w:type="dxa"/>
              <w:bottom w:w="5" w:type="dxa"/>
              <w:right w:w="5" w:type="dxa"/>
            </w:tcMar>
            <w:vAlign w:val="bottom"/>
            <w:hideMark/>
          </w:tcPr>
          <w:p w14:paraId="11AC42AD"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1886AFE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2170E95"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49971F8D" w14:textId="77777777" w:rsidR="00C820B8" w:rsidRPr="0064652A" w:rsidRDefault="008D7FC6">
            <w:pPr>
              <w:jc w:val="right"/>
              <w:rPr>
                <w:color w:val="000000"/>
                <w:sz w:val="20"/>
                <w:szCs w:val="20"/>
              </w:rPr>
            </w:pPr>
            <w:r w:rsidRPr="0064652A">
              <w:rPr>
                <w:color w:val="000000"/>
                <w:sz w:val="20"/>
                <w:szCs w:val="20"/>
              </w:rPr>
              <w:t>(33,201</w:t>
            </w:r>
          </w:p>
        </w:tc>
        <w:tc>
          <w:tcPr>
            <w:tcW w:w="50" w:type="pct"/>
            <w:noWrap/>
            <w:tcMar>
              <w:top w:w="5" w:type="dxa"/>
              <w:left w:w="5" w:type="dxa"/>
              <w:bottom w:w="5" w:type="dxa"/>
              <w:right w:w="5" w:type="dxa"/>
            </w:tcMar>
            <w:vAlign w:val="bottom"/>
            <w:hideMark/>
          </w:tcPr>
          <w:p w14:paraId="45A2519F"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7F2212B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9358532"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7543B357" w14:textId="77777777" w:rsidR="00C820B8" w:rsidRPr="0064652A" w:rsidRDefault="008D7FC6">
            <w:pPr>
              <w:jc w:val="right"/>
              <w:rPr>
                <w:color w:val="000000"/>
                <w:sz w:val="20"/>
                <w:szCs w:val="20"/>
              </w:rPr>
            </w:pPr>
            <w:r w:rsidRPr="0064652A">
              <w:rPr>
                <w:color w:val="000000"/>
                <w:sz w:val="20"/>
                <w:szCs w:val="20"/>
              </w:rPr>
              <w:t>27,108</w:t>
            </w:r>
          </w:p>
        </w:tc>
        <w:tc>
          <w:tcPr>
            <w:tcW w:w="50" w:type="pct"/>
            <w:noWrap/>
            <w:tcMar>
              <w:top w:w="5" w:type="dxa"/>
              <w:left w:w="5" w:type="dxa"/>
              <w:bottom w:w="5" w:type="dxa"/>
              <w:right w:w="5" w:type="dxa"/>
            </w:tcMar>
            <w:vAlign w:val="bottom"/>
            <w:hideMark/>
          </w:tcPr>
          <w:p w14:paraId="41440B30" w14:textId="77777777" w:rsidR="00C820B8" w:rsidRPr="0064652A" w:rsidRDefault="008D7FC6">
            <w:pPr>
              <w:rPr>
                <w:color w:val="000000"/>
                <w:sz w:val="20"/>
                <w:szCs w:val="20"/>
              </w:rPr>
            </w:pPr>
            <w:r w:rsidRPr="0064652A">
              <w:rPr>
                <w:color w:val="000000"/>
                <w:sz w:val="20"/>
                <w:szCs w:val="20"/>
              </w:rPr>
              <w:t> </w:t>
            </w:r>
          </w:p>
        </w:tc>
      </w:tr>
    </w:tbl>
    <w:p w14:paraId="1B7E8C9B" w14:textId="77777777" w:rsidR="00C820B8" w:rsidRPr="0064652A" w:rsidRDefault="008D7FC6">
      <w:pPr>
        <w:rPr>
          <w:sz w:val="20"/>
          <w:szCs w:val="20"/>
        </w:rPr>
      </w:pPr>
      <w:r w:rsidRPr="0064652A">
        <w:rPr>
          <w:rStyle w:val="ins"/>
          <w:sz w:val="20"/>
          <w:szCs w:val="20"/>
        </w:rPr>
        <w:t>(Not Reviewed)</w:t>
      </w:r>
    </w:p>
    <w:p w14:paraId="60E4C86F" w14:textId="77777777" w:rsidR="00C820B8" w:rsidRPr="0064652A" w:rsidRDefault="008D7FC6">
      <w:pPr>
        <w:rPr>
          <w:sz w:val="20"/>
          <w:szCs w:val="20"/>
        </w:rPr>
      </w:pPr>
      <w:r w:rsidRPr="0064652A">
        <w:rPr>
          <w:sz w:val="20"/>
          <w:szCs w:val="20"/>
        </w:rPr>
        <w:t> </w:t>
      </w:r>
    </w:p>
    <w:p w14:paraId="43EA3805" w14:textId="77777777" w:rsidR="00C820B8" w:rsidRPr="0064652A" w:rsidRDefault="008D7FC6">
      <w:pPr>
        <w:rPr>
          <w:sz w:val="20"/>
          <w:szCs w:val="20"/>
        </w:rPr>
      </w:pPr>
      <w:r w:rsidRPr="0064652A">
        <w:rPr>
          <w:sz w:val="20"/>
          <w:szCs w:val="20"/>
        </w:rPr>
        <w:t> </w:t>
      </w:r>
    </w:p>
    <w:tbl>
      <w:tblPr>
        <w:tblStyle w:val="finTable"/>
        <w:tblW w:w="5000" w:type="pct"/>
        <w:tblInd w:w="5" w:type="dxa"/>
        <w:tblCellMar>
          <w:left w:w="0" w:type="dxa"/>
          <w:right w:w="0" w:type="dxa"/>
        </w:tblCellMar>
        <w:tblLook w:val="05E0" w:firstRow="1" w:lastRow="1" w:firstColumn="1" w:lastColumn="1" w:noHBand="0" w:noVBand="1"/>
      </w:tblPr>
      <w:tblGrid>
        <w:gridCol w:w="3192"/>
        <w:gridCol w:w="60"/>
        <w:gridCol w:w="111"/>
        <w:gridCol w:w="737"/>
        <w:gridCol w:w="60"/>
        <w:gridCol w:w="60"/>
        <w:gridCol w:w="60"/>
        <w:gridCol w:w="910"/>
        <w:gridCol w:w="60"/>
        <w:gridCol w:w="60"/>
        <w:gridCol w:w="111"/>
        <w:gridCol w:w="697"/>
        <w:gridCol w:w="60"/>
        <w:gridCol w:w="60"/>
        <w:gridCol w:w="116"/>
        <w:gridCol w:w="806"/>
        <w:gridCol w:w="61"/>
        <w:gridCol w:w="62"/>
        <w:gridCol w:w="143"/>
        <w:gridCol w:w="1001"/>
        <w:gridCol w:w="77"/>
        <w:gridCol w:w="60"/>
        <w:gridCol w:w="111"/>
        <w:gridCol w:w="701"/>
        <w:gridCol w:w="77"/>
        <w:gridCol w:w="60"/>
        <w:gridCol w:w="152"/>
        <w:gridCol w:w="1058"/>
        <w:gridCol w:w="77"/>
      </w:tblGrid>
      <w:tr w:rsidR="00C820B8" w:rsidRPr="0064652A" w14:paraId="09FD9982" w14:textId="77777777">
        <w:tc>
          <w:tcPr>
            <w:tcW w:w="0" w:type="auto"/>
            <w:tcMar>
              <w:top w:w="5" w:type="dxa"/>
              <w:left w:w="5" w:type="dxa"/>
              <w:bottom w:w="5" w:type="dxa"/>
              <w:right w:w="5" w:type="dxa"/>
            </w:tcMar>
            <w:vAlign w:val="bottom"/>
            <w:hideMark/>
          </w:tcPr>
          <w:p w14:paraId="0B73EEA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99790D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69DC627"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DC7ABD9" w14:textId="77777777" w:rsidR="00C820B8" w:rsidRPr="0064652A" w:rsidRDefault="008D7FC6">
            <w:pPr>
              <w:jc w:val="cente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01869F7"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23A6032C" w14:textId="77777777" w:rsidR="00C820B8" w:rsidRPr="0064652A" w:rsidRDefault="008D7FC6">
            <w:pPr>
              <w:rPr>
                <w:color w:val="000000"/>
                <w:sz w:val="20"/>
                <w:szCs w:val="20"/>
              </w:rPr>
            </w:pPr>
            <w:r w:rsidRPr="0064652A">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32D46BAD" w14:textId="77777777" w:rsidR="00C820B8" w:rsidRPr="0064652A" w:rsidRDefault="008D7FC6">
            <w:pPr>
              <w:jc w:val="center"/>
              <w:rPr>
                <w:color w:val="000000"/>
                <w:sz w:val="20"/>
                <w:szCs w:val="20"/>
              </w:rPr>
            </w:pPr>
            <w:r w:rsidRPr="0064652A">
              <w:rPr>
                <w:b/>
                <w:bCs/>
                <w:color w:val="000000"/>
                <w:sz w:val="20"/>
                <w:szCs w:val="20"/>
              </w:rPr>
              <w:t>Common Stock</w:t>
            </w:r>
          </w:p>
        </w:tc>
        <w:tc>
          <w:tcPr>
            <w:tcW w:w="0" w:type="auto"/>
            <w:tcMar>
              <w:top w:w="5" w:type="dxa"/>
              <w:left w:w="5" w:type="dxa"/>
              <w:bottom w:w="5" w:type="dxa"/>
              <w:right w:w="5" w:type="dxa"/>
            </w:tcMar>
            <w:vAlign w:val="bottom"/>
            <w:hideMark/>
          </w:tcPr>
          <w:p w14:paraId="1A33AAA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B25DA13"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062BE0D9" w14:textId="77777777" w:rsidR="00C820B8" w:rsidRPr="0064652A" w:rsidRDefault="008D7FC6">
            <w:pPr>
              <w:jc w:val="center"/>
              <w:rPr>
                <w:color w:val="000000"/>
                <w:sz w:val="20"/>
                <w:szCs w:val="20"/>
              </w:rPr>
            </w:pPr>
            <w:r w:rsidRPr="0064652A">
              <w:rPr>
                <w:b/>
                <w:bCs/>
                <w:color w:val="000000"/>
                <w:sz w:val="20"/>
                <w:szCs w:val="20"/>
              </w:rPr>
              <w:t>Additional</w:t>
            </w:r>
          </w:p>
        </w:tc>
        <w:tc>
          <w:tcPr>
            <w:tcW w:w="0" w:type="auto"/>
            <w:tcMar>
              <w:top w:w="5" w:type="dxa"/>
              <w:left w:w="5" w:type="dxa"/>
              <w:bottom w:w="5" w:type="dxa"/>
              <w:right w:w="5" w:type="dxa"/>
            </w:tcMar>
            <w:vAlign w:val="bottom"/>
            <w:hideMark/>
          </w:tcPr>
          <w:p w14:paraId="5C5DA56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F9FE9B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4D6D8C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146C0A1" w14:textId="77777777" w:rsidR="00C820B8" w:rsidRPr="0064652A" w:rsidRDefault="008D7FC6">
            <w:pPr>
              <w:jc w:val="cente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258A9C4"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2E75B6C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4F172F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DD5426D" w14:textId="77777777" w:rsidR="00C820B8" w:rsidRPr="0064652A" w:rsidRDefault="008D7FC6">
            <w:pPr>
              <w:jc w:val="cente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9624CCE"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3B294265"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38E4E213" w14:textId="77777777" w:rsidR="00C820B8" w:rsidRPr="0064652A" w:rsidRDefault="008D7FC6">
            <w:pPr>
              <w:jc w:val="center"/>
              <w:rPr>
                <w:color w:val="000000"/>
                <w:sz w:val="20"/>
                <w:szCs w:val="20"/>
              </w:rPr>
            </w:pPr>
            <w:r w:rsidRPr="0064652A">
              <w:rPr>
                <w:b/>
                <w:bCs/>
                <w:color w:val="000000"/>
                <w:sz w:val="20"/>
                <w:szCs w:val="20"/>
              </w:rPr>
              <w:t>Total</w:t>
            </w:r>
          </w:p>
        </w:tc>
        <w:tc>
          <w:tcPr>
            <w:tcW w:w="0" w:type="auto"/>
            <w:tcMar>
              <w:top w:w="5" w:type="dxa"/>
              <w:left w:w="5" w:type="dxa"/>
              <w:bottom w:w="5" w:type="dxa"/>
              <w:right w:w="5" w:type="dxa"/>
            </w:tcMar>
            <w:vAlign w:val="bottom"/>
            <w:hideMark/>
          </w:tcPr>
          <w:p w14:paraId="3FC1D462" w14:textId="77777777" w:rsidR="00C820B8" w:rsidRPr="0064652A" w:rsidRDefault="008D7FC6">
            <w:pPr>
              <w:rPr>
                <w:color w:val="000000"/>
                <w:sz w:val="20"/>
                <w:szCs w:val="20"/>
              </w:rPr>
            </w:pPr>
            <w:r w:rsidRPr="0064652A">
              <w:rPr>
                <w:color w:val="000000"/>
                <w:sz w:val="20"/>
                <w:szCs w:val="20"/>
              </w:rPr>
              <w:t> </w:t>
            </w:r>
          </w:p>
        </w:tc>
      </w:tr>
      <w:tr w:rsidR="00C820B8" w:rsidRPr="0064652A" w14:paraId="4564C6F8" w14:textId="77777777">
        <w:tc>
          <w:tcPr>
            <w:tcW w:w="0" w:type="auto"/>
            <w:tcMar>
              <w:top w:w="5" w:type="dxa"/>
              <w:left w:w="5" w:type="dxa"/>
              <w:bottom w:w="5" w:type="dxa"/>
              <w:right w:w="5" w:type="dxa"/>
            </w:tcMar>
            <w:vAlign w:val="bottom"/>
            <w:hideMark/>
          </w:tcPr>
          <w:p w14:paraId="60F6C4E6"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5EC9FFE"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11C2B775" w14:textId="77777777" w:rsidR="00C820B8" w:rsidRPr="0064652A" w:rsidRDefault="008D7FC6">
            <w:pPr>
              <w:jc w:val="center"/>
              <w:rPr>
                <w:color w:val="000000"/>
                <w:sz w:val="20"/>
                <w:szCs w:val="20"/>
              </w:rPr>
            </w:pPr>
            <w:r w:rsidRPr="0064652A">
              <w:rPr>
                <w:b/>
                <w:bCs/>
                <w:color w:val="000000"/>
                <w:sz w:val="20"/>
                <w:szCs w:val="20"/>
              </w:rPr>
              <w:t>Preferred</w:t>
            </w:r>
          </w:p>
        </w:tc>
        <w:tc>
          <w:tcPr>
            <w:tcW w:w="0" w:type="auto"/>
            <w:tcMar>
              <w:top w:w="5" w:type="dxa"/>
              <w:left w:w="5" w:type="dxa"/>
              <w:bottom w:w="5" w:type="dxa"/>
              <w:right w:w="5" w:type="dxa"/>
            </w:tcMar>
            <w:vAlign w:val="bottom"/>
            <w:hideMark/>
          </w:tcPr>
          <w:p w14:paraId="7604B16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D17D66D"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0689EB0B" w14:textId="77777777" w:rsidR="00C820B8" w:rsidRPr="0064652A" w:rsidRDefault="008D7FC6">
            <w:pPr>
              <w:jc w:val="center"/>
              <w:rPr>
                <w:color w:val="000000"/>
                <w:sz w:val="20"/>
                <w:szCs w:val="20"/>
              </w:rPr>
            </w:pPr>
            <w:r w:rsidRPr="0064652A">
              <w:rPr>
                <w:b/>
                <w:bCs/>
                <w:color w:val="000000"/>
                <w:sz w:val="20"/>
                <w:szCs w:val="20"/>
              </w:rPr>
              <w:t>Number</w:t>
            </w:r>
          </w:p>
        </w:tc>
        <w:tc>
          <w:tcPr>
            <w:tcW w:w="0" w:type="auto"/>
            <w:tcMar>
              <w:top w:w="5" w:type="dxa"/>
              <w:left w:w="5" w:type="dxa"/>
              <w:bottom w:w="5" w:type="dxa"/>
              <w:right w:w="5" w:type="dxa"/>
            </w:tcMar>
            <w:vAlign w:val="bottom"/>
            <w:hideMark/>
          </w:tcPr>
          <w:p w14:paraId="740AB77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A2E6D4F"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42245860" w14:textId="77777777" w:rsidR="00C820B8" w:rsidRPr="0064652A" w:rsidRDefault="008D7FC6">
            <w:pPr>
              <w:jc w:val="center"/>
              <w:rPr>
                <w:color w:val="000000"/>
                <w:sz w:val="20"/>
                <w:szCs w:val="20"/>
              </w:rPr>
            </w:pPr>
            <w:r w:rsidRPr="0064652A">
              <w:rPr>
                <w:b/>
                <w:bCs/>
                <w:color w:val="000000"/>
                <w:sz w:val="20"/>
                <w:szCs w:val="20"/>
              </w:rPr>
              <w:t>Par</w:t>
            </w:r>
          </w:p>
        </w:tc>
        <w:tc>
          <w:tcPr>
            <w:tcW w:w="0" w:type="auto"/>
            <w:tcMar>
              <w:top w:w="5" w:type="dxa"/>
              <w:left w:w="5" w:type="dxa"/>
              <w:bottom w:w="5" w:type="dxa"/>
              <w:right w:w="5" w:type="dxa"/>
            </w:tcMar>
            <w:vAlign w:val="bottom"/>
            <w:hideMark/>
          </w:tcPr>
          <w:p w14:paraId="075F2B3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9091293"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1C1A8372" w14:textId="77777777" w:rsidR="00C820B8" w:rsidRPr="0064652A" w:rsidRDefault="008D7FC6">
            <w:pPr>
              <w:jc w:val="center"/>
              <w:rPr>
                <w:color w:val="000000"/>
                <w:sz w:val="20"/>
                <w:szCs w:val="20"/>
              </w:rPr>
            </w:pPr>
            <w:r w:rsidRPr="0064652A">
              <w:rPr>
                <w:b/>
                <w:bCs/>
                <w:color w:val="000000"/>
                <w:sz w:val="20"/>
                <w:szCs w:val="20"/>
              </w:rPr>
              <w:t>Paid-In</w:t>
            </w:r>
          </w:p>
        </w:tc>
        <w:tc>
          <w:tcPr>
            <w:tcW w:w="0" w:type="auto"/>
            <w:tcMar>
              <w:top w:w="5" w:type="dxa"/>
              <w:left w:w="5" w:type="dxa"/>
              <w:bottom w:w="5" w:type="dxa"/>
              <w:right w:w="5" w:type="dxa"/>
            </w:tcMar>
            <w:vAlign w:val="bottom"/>
            <w:hideMark/>
          </w:tcPr>
          <w:p w14:paraId="4031716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3D9213D"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7BDCF54D" w14:textId="77777777" w:rsidR="00C820B8" w:rsidRPr="0064652A" w:rsidRDefault="008D7FC6">
            <w:pPr>
              <w:jc w:val="center"/>
              <w:rPr>
                <w:color w:val="000000"/>
                <w:sz w:val="20"/>
                <w:szCs w:val="20"/>
              </w:rPr>
            </w:pPr>
            <w:r w:rsidRPr="0064652A">
              <w:rPr>
                <w:b/>
                <w:bCs/>
                <w:color w:val="000000"/>
                <w:sz w:val="20"/>
                <w:szCs w:val="20"/>
              </w:rPr>
              <w:t>Accumulated</w:t>
            </w:r>
          </w:p>
        </w:tc>
        <w:tc>
          <w:tcPr>
            <w:tcW w:w="0" w:type="auto"/>
            <w:tcMar>
              <w:top w:w="5" w:type="dxa"/>
              <w:left w:w="5" w:type="dxa"/>
              <w:bottom w:w="5" w:type="dxa"/>
              <w:right w:w="5" w:type="dxa"/>
            </w:tcMar>
            <w:vAlign w:val="bottom"/>
            <w:hideMark/>
          </w:tcPr>
          <w:p w14:paraId="66BB8A8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3BD3055"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4BF412EE" w14:textId="77777777" w:rsidR="00C820B8" w:rsidRPr="0064652A" w:rsidRDefault="008D7FC6">
            <w:pPr>
              <w:jc w:val="center"/>
              <w:rPr>
                <w:color w:val="000000"/>
                <w:sz w:val="20"/>
                <w:szCs w:val="20"/>
              </w:rPr>
            </w:pPr>
            <w:r w:rsidRPr="0064652A">
              <w:rPr>
                <w:b/>
                <w:bCs/>
                <w:color w:val="000000"/>
                <w:sz w:val="20"/>
                <w:szCs w:val="20"/>
              </w:rPr>
              <w:t>Treasury</w:t>
            </w:r>
          </w:p>
        </w:tc>
        <w:tc>
          <w:tcPr>
            <w:tcW w:w="0" w:type="auto"/>
            <w:tcMar>
              <w:top w:w="5" w:type="dxa"/>
              <w:left w:w="5" w:type="dxa"/>
              <w:bottom w:w="5" w:type="dxa"/>
              <w:right w:w="5" w:type="dxa"/>
            </w:tcMar>
            <w:vAlign w:val="bottom"/>
            <w:hideMark/>
          </w:tcPr>
          <w:p w14:paraId="6D871D6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3811785" w14:textId="77777777" w:rsidR="00C820B8" w:rsidRPr="0064652A" w:rsidRDefault="008D7FC6">
            <w:pPr>
              <w:rPr>
                <w:color w:val="000000"/>
                <w:sz w:val="20"/>
                <w:szCs w:val="20"/>
              </w:rPr>
            </w:pPr>
            <w:r w:rsidRPr="0064652A">
              <w:rPr>
                <w:color w:val="000000"/>
                <w:sz w:val="20"/>
                <w:szCs w:val="20"/>
              </w:rPr>
              <w:t> </w:t>
            </w:r>
          </w:p>
        </w:tc>
        <w:tc>
          <w:tcPr>
            <w:tcW w:w="0" w:type="auto"/>
            <w:gridSpan w:val="2"/>
            <w:tcMar>
              <w:top w:w="5" w:type="dxa"/>
              <w:left w:w="5" w:type="dxa"/>
              <w:bottom w:w="5" w:type="dxa"/>
              <w:right w:w="5" w:type="dxa"/>
            </w:tcMar>
            <w:vAlign w:val="bottom"/>
            <w:hideMark/>
          </w:tcPr>
          <w:p w14:paraId="3A702E3F" w14:textId="77777777" w:rsidR="00C820B8" w:rsidRPr="0064652A" w:rsidRDefault="008D7FC6">
            <w:pPr>
              <w:jc w:val="center"/>
              <w:rPr>
                <w:color w:val="000000"/>
                <w:sz w:val="20"/>
                <w:szCs w:val="20"/>
              </w:rPr>
            </w:pPr>
            <w:r w:rsidRPr="0064652A">
              <w:rPr>
                <w:b/>
                <w:bCs/>
                <w:color w:val="000000"/>
                <w:sz w:val="20"/>
                <w:szCs w:val="20"/>
              </w:rPr>
              <w:t>Shareholders’</w:t>
            </w:r>
          </w:p>
        </w:tc>
        <w:tc>
          <w:tcPr>
            <w:tcW w:w="0" w:type="auto"/>
            <w:tcMar>
              <w:top w:w="5" w:type="dxa"/>
              <w:left w:w="5" w:type="dxa"/>
              <w:bottom w:w="5" w:type="dxa"/>
              <w:right w:w="5" w:type="dxa"/>
            </w:tcMar>
            <w:vAlign w:val="bottom"/>
            <w:hideMark/>
          </w:tcPr>
          <w:p w14:paraId="7CAAF422" w14:textId="77777777" w:rsidR="00C820B8" w:rsidRPr="0064652A" w:rsidRDefault="008D7FC6">
            <w:pPr>
              <w:rPr>
                <w:color w:val="000000"/>
                <w:sz w:val="20"/>
                <w:szCs w:val="20"/>
              </w:rPr>
            </w:pPr>
            <w:r w:rsidRPr="0064652A">
              <w:rPr>
                <w:color w:val="000000"/>
                <w:sz w:val="20"/>
                <w:szCs w:val="20"/>
              </w:rPr>
              <w:t> </w:t>
            </w:r>
          </w:p>
        </w:tc>
      </w:tr>
      <w:tr w:rsidR="00C820B8" w:rsidRPr="0064652A" w14:paraId="5414B79E" w14:textId="77777777">
        <w:tc>
          <w:tcPr>
            <w:tcW w:w="0" w:type="auto"/>
            <w:tcMar>
              <w:top w:w="5" w:type="dxa"/>
              <w:left w:w="5" w:type="dxa"/>
              <w:bottom w:w="5" w:type="dxa"/>
              <w:right w:w="5" w:type="dxa"/>
            </w:tcMar>
            <w:vAlign w:val="bottom"/>
            <w:hideMark/>
          </w:tcPr>
          <w:p w14:paraId="4631F36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554ACEA"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C7A3A58" w14:textId="77777777" w:rsidR="00C820B8" w:rsidRPr="0064652A" w:rsidRDefault="008D7FC6">
            <w:pPr>
              <w:jc w:val="center"/>
              <w:rPr>
                <w:color w:val="000000"/>
                <w:sz w:val="20"/>
                <w:szCs w:val="20"/>
              </w:rPr>
            </w:pPr>
            <w:r w:rsidRPr="0064652A">
              <w:rPr>
                <w:b/>
                <w:bCs/>
                <w:color w:val="000000"/>
                <w:sz w:val="20"/>
                <w:szCs w:val="20"/>
              </w:rPr>
              <w:t>Stock</w:t>
            </w:r>
          </w:p>
        </w:tc>
        <w:tc>
          <w:tcPr>
            <w:tcW w:w="0" w:type="auto"/>
            <w:tcMar>
              <w:top w:w="5" w:type="dxa"/>
              <w:left w:w="5" w:type="dxa"/>
              <w:bottom w:w="20" w:type="dxa"/>
              <w:right w:w="5" w:type="dxa"/>
            </w:tcMar>
            <w:vAlign w:val="bottom"/>
            <w:hideMark/>
          </w:tcPr>
          <w:p w14:paraId="181CF15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962CF33"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EB3AD65" w14:textId="77777777" w:rsidR="00C820B8" w:rsidRPr="0064652A" w:rsidRDefault="008D7FC6">
            <w:pPr>
              <w:jc w:val="center"/>
              <w:rPr>
                <w:color w:val="000000"/>
                <w:sz w:val="20"/>
                <w:szCs w:val="20"/>
              </w:rPr>
            </w:pPr>
            <w:r w:rsidRPr="0064652A">
              <w:rPr>
                <w:b/>
                <w:bCs/>
                <w:color w:val="000000"/>
                <w:sz w:val="20"/>
                <w:szCs w:val="20"/>
              </w:rPr>
              <w:t>of Shares</w:t>
            </w:r>
          </w:p>
        </w:tc>
        <w:tc>
          <w:tcPr>
            <w:tcW w:w="0" w:type="auto"/>
            <w:tcMar>
              <w:top w:w="5" w:type="dxa"/>
              <w:left w:w="5" w:type="dxa"/>
              <w:bottom w:w="20" w:type="dxa"/>
              <w:right w:w="5" w:type="dxa"/>
            </w:tcMar>
            <w:vAlign w:val="bottom"/>
            <w:hideMark/>
          </w:tcPr>
          <w:p w14:paraId="5E0FDBA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16B497A"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BEE87B1" w14:textId="77777777" w:rsidR="00C820B8" w:rsidRPr="0064652A" w:rsidRDefault="008D7FC6">
            <w:pPr>
              <w:jc w:val="center"/>
              <w:rPr>
                <w:color w:val="000000"/>
                <w:sz w:val="20"/>
                <w:szCs w:val="20"/>
              </w:rPr>
            </w:pPr>
            <w:r w:rsidRPr="0064652A">
              <w:rPr>
                <w:b/>
                <w:bCs/>
                <w:color w:val="000000"/>
                <w:sz w:val="20"/>
                <w:szCs w:val="20"/>
              </w:rPr>
              <w:t>Value</w:t>
            </w:r>
          </w:p>
        </w:tc>
        <w:tc>
          <w:tcPr>
            <w:tcW w:w="0" w:type="auto"/>
            <w:tcMar>
              <w:top w:w="5" w:type="dxa"/>
              <w:left w:w="5" w:type="dxa"/>
              <w:bottom w:w="20" w:type="dxa"/>
              <w:right w:w="5" w:type="dxa"/>
            </w:tcMar>
            <w:vAlign w:val="bottom"/>
            <w:hideMark/>
          </w:tcPr>
          <w:p w14:paraId="78D857E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EB056FD"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E05F250" w14:textId="77777777" w:rsidR="00C820B8" w:rsidRPr="0064652A" w:rsidRDefault="008D7FC6">
            <w:pPr>
              <w:jc w:val="center"/>
              <w:rPr>
                <w:color w:val="000000"/>
                <w:sz w:val="20"/>
                <w:szCs w:val="20"/>
              </w:rPr>
            </w:pPr>
            <w:r w:rsidRPr="0064652A">
              <w:rPr>
                <w:b/>
                <w:bCs/>
                <w:color w:val="000000"/>
                <w:sz w:val="20"/>
                <w:szCs w:val="20"/>
              </w:rPr>
              <w:t>Capital</w:t>
            </w:r>
          </w:p>
        </w:tc>
        <w:tc>
          <w:tcPr>
            <w:tcW w:w="0" w:type="auto"/>
            <w:tcMar>
              <w:top w:w="5" w:type="dxa"/>
              <w:left w:w="5" w:type="dxa"/>
              <w:bottom w:w="20" w:type="dxa"/>
              <w:right w:w="5" w:type="dxa"/>
            </w:tcMar>
            <w:vAlign w:val="bottom"/>
            <w:hideMark/>
          </w:tcPr>
          <w:p w14:paraId="752DCF0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96D7725"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780BAA7" w14:textId="77777777" w:rsidR="00C820B8" w:rsidRPr="0064652A" w:rsidRDefault="008D7FC6">
            <w:pPr>
              <w:jc w:val="center"/>
              <w:rPr>
                <w:color w:val="000000"/>
                <w:sz w:val="20"/>
                <w:szCs w:val="20"/>
              </w:rPr>
            </w:pPr>
            <w:r w:rsidRPr="0064652A">
              <w:rPr>
                <w:b/>
                <w:bCs/>
                <w:color w:val="000000"/>
                <w:sz w:val="20"/>
                <w:szCs w:val="20"/>
              </w:rPr>
              <w:t>Deficit</w:t>
            </w:r>
          </w:p>
        </w:tc>
        <w:tc>
          <w:tcPr>
            <w:tcW w:w="0" w:type="auto"/>
            <w:tcMar>
              <w:top w:w="5" w:type="dxa"/>
              <w:left w:w="5" w:type="dxa"/>
              <w:bottom w:w="20" w:type="dxa"/>
              <w:right w:w="5" w:type="dxa"/>
            </w:tcMar>
            <w:vAlign w:val="bottom"/>
            <w:hideMark/>
          </w:tcPr>
          <w:p w14:paraId="20858E6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EB406DD"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B782E25" w14:textId="77777777" w:rsidR="00C820B8" w:rsidRPr="0064652A" w:rsidRDefault="008D7FC6">
            <w:pPr>
              <w:jc w:val="center"/>
              <w:rPr>
                <w:color w:val="000000"/>
                <w:sz w:val="20"/>
                <w:szCs w:val="20"/>
              </w:rPr>
            </w:pPr>
            <w:r w:rsidRPr="0064652A">
              <w:rPr>
                <w:b/>
                <w:bCs/>
                <w:color w:val="000000"/>
                <w:sz w:val="20"/>
                <w:szCs w:val="20"/>
              </w:rPr>
              <w:t>Stock</w:t>
            </w:r>
          </w:p>
        </w:tc>
        <w:tc>
          <w:tcPr>
            <w:tcW w:w="0" w:type="auto"/>
            <w:tcMar>
              <w:top w:w="5" w:type="dxa"/>
              <w:left w:w="5" w:type="dxa"/>
              <w:bottom w:w="20" w:type="dxa"/>
              <w:right w:w="5" w:type="dxa"/>
            </w:tcMar>
            <w:vAlign w:val="bottom"/>
            <w:hideMark/>
          </w:tcPr>
          <w:p w14:paraId="6C8EFD7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49E5E4D"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A947FED" w14:textId="77777777" w:rsidR="00C820B8" w:rsidRPr="0064652A" w:rsidRDefault="008D7FC6">
            <w:pPr>
              <w:jc w:val="center"/>
              <w:rPr>
                <w:color w:val="000000"/>
                <w:sz w:val="20"/>
                <w:szCs w:val="20"/>
              </w:rPr>
            </w:pPr>
            <w:r w:rsidRPr="0064652A">
              <w:rPr>
                <w:b/>
                <w:bCs/>
                <w:color w:val="000000"/>
                <w:sz w:val="20"/>
                <w:szCs w:val="20"/>
              </w:rPr>
              <w:t>Equity</w:t>
            </w:r>
          </w:p>
        </w:tc>
        <w:tc>
          <w:tcPr>
            <w:tcW w:w="0" w:type="auto"/>
            <w:tcMar>
              <w:top w:w="5" w:type="dxa"/>
              <w:left w:w="5" w:type="dxa"/>
              <w:bottom w:w="20" w:type="dxa"/>
              <w:right w:w="5" w:type="dxa"/>
            </w:tcMar>
            <w:vAlign w:val="bottom"/>
            <w:hideMark/>
          </w:tcPr>
          <w:p w14:paraId="7DFC534D" w14:textId="77777777" w:rsidR="00C820B8" w:rsidRPr="0064652A" w:rsidRDefault="008D7FC6">
            <w:pPr>
              <w:rPr>
                <w:color w:val="000000"/>
                <w:sz w:val="20"/>
                <w:szCs w:val="20"/>
              </w:rPr>
            </w:pPr>
            <w:r w:rsidRPr="0064652A">
              <w:rPr>
                <w:color w:val="000000"/>
                <w:sz w:val="20"/>
                <w:szCs w:val="20"/>
              </w:rPr>
              <w:t> </w:t>
            </w:r>
          </w:p>
        </w:tc>
      </w:tr>
      <w:tr w:rsidR="00C820B8" w:rsidRPr="0064652A" w14:paraId="17862D1A" w14:textId="77777777">
        <w:tc>
          <w:tcPr>
            <w:tcW w:w="1500" w:type="pct"/>
            <w:tcMar>
              <w:top w:w="5" w:type="dxa"/>
              <w:left w:w="5" w:type="dxa"/>
              <w:bottom w:w="5" w:type="dxa"/>
              <w:right w:w="5" w:type="dxa"/>
            </w:tcMar>
            <w:vAlign w:val="bottom"/>
            <w:hideMark/>
          </w:tcPr>
          <w:p w14:paraId="39D511F9" w14:textId="77777777" w:rsidR="00C820B8" w:rsidRPr="0064652A" w:rsidRDefault="008D7FC6">
            <w:pPr>
              <w:rPr>
                <w:color w:val="000000"/>
                <w:sz w:val="20"/>
                <w:szCs w:val="20"/>
              </w:rPr>
            </w:pPr>
            <w:r w:rsidRPr="0064652A">
              <w:rPr>
                <w:color w:val="000000"/>
                <w:sz w:val="20"/>
                <w:szCs w:val="20"/>
              </w:rPr>
              <w:t>Balance — March 31, 2022</w:t>
            </w:r>
          </w:p>
        </w:tc>
        <w:tc>
          <w:tcPr>
            <w:tcW w:w="50" w:type="pct"/>
            <w:tcMar>
              <w:top w:w="5" w:type="dxa"/>
              <w:left w:w="5" w:type="dxa"/>
              <w:bottom w:w="5" w:type="dxa"/>
              <w:right w:w="5" w:type="dxa"/>
            </w:tcMar>
            <w:vAlign w:val="bottom"/>
            <w:hideMark/>
          </w:tcPr>
          <w:p w14:paraId="3E1F54A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30034CF"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49F6B95F" w14:textId="77777777" w:rsidR="00C820B8" w:rsidRPr="0064652A" w:rsidRDefault="008D7FC6">
            <w:pPr>
              <w:jc w:val="right"/>
              <w:rPr>
                <w:color w:val="000000"/>
                <w:sz w:val="20"/>
                <w:szCs w:val="20"/>
              </w:rPr>
            </w:pPr>
            <w:r w:rsidRPr="0064652A">
              <w:rPr>
                <w:color w:val="000000"/>
                <w:sz w:val="20"/>
                <w:szCs w:val="20"/>
              </w:rPr>
              <w:t>3,310</w:t>
            </w:r>
          </w:p>
        </w:tc>
        <w:tc>
          <w:tcPr>
            <w:tcW w:w="50" w:type="pct"/>
            <w:noWrap/>
            <w:tcMar>
              <w:top w:w="5" w:type="dxa"/>
              <w:left w:w="5" w:type="dxa"/>
              <w:bottom w:w="5" w:type="dxa"/>
              <w:right w:w="5" w:type="dxa"/>
            </w:tcMar>
            <w:vAlign w:val="bottom"/>
            <w:hideMark/>
          </w:tcPr>
          <w:p w14:paraId="193258F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B8CB5D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02870A4" w14:textId="77777777" w:rsidR="00C820B8" w:rsidRPr="0064652A" w:rsidRDefault="008D7FC6">
            <w:pPr>
              <w:rPr>
                <w:color w:val="000000"/>
                <w:sz w:val="20"/>
                <w:szCs w:val="20"/>
              </w:rPr>
            </w:pPr>
            <w:r w:rsidRPr="0064652A">
              <w:rPr>
                <w:color w:val="000000"/>
                <w:sz w:val="20"/>
                <w:szCs w:val="20"/>
              </w:rPr>
              <w:t> </w:t>
            </w:r>
          </w:p>
        </w:tc>
        <w:tc>
          <w:tcPr>
            <w:tcW w:w="350" w:type="pct"/>
            <w:tcMar>
              <w:top w:w="5" w:type="dxa"/>
              <w:left w:w="5" w:type="dxa"/>
              <w:bottom w:w="5" w:type="dxa"/>
              <w:right w:w="5" w:type="dxa"/>
            </w:tcMar>
            <w:vAlign w:val="bottom"/>
            <w:hideMark/>
          </w:tcPr>
          <w:p w14:paraId="4A760943" w14:textId="77777777" w:rsidR="00C820B8" w:rsidRPr="0064652A" w:rsidRDefault="008D7FC6">
            <w:pPr>
              <w:jc w:val="right"/>
              <w:rPr>
                <w:color w:val="000000"/>
                <w:sz w:val="20"/>
                <w:szCs w:val="20"/>
              </w:rPr>
            </w:pPr>
            <w:r w:rsidRPr="0064652A">
              <w:rPr>
                <w:color w:val="000000"/>
                <w:sz w:val="20"/>
                <w:szCs w:val="20"/>
              </w:rPr>
              <w:t>52,965,797</w:t>
            </w:r>
          </w:p>
        </w:tc>
        <w:tc>
          <w:tcPr>
            <w:tcW w:w="50" w:type="pct"/>
            <w:noWrap/>
            <w:tcMar>
              <w:top w:w="5" w:type="dxa"/>
              <w:left w:w="5" w:type="dxa"/>
              <w:bottom w:w="5" w:type="dxa"/>
              <w:right w:w="5" w:type="dxa"/>
            </w:tcMar>
            <w:vAlign w:val="bottom"/>
            <w:hideMark/>
          </w:tcPr>
          <w:p w14:paraId="2D4E265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A21604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D782025"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647611CB" w14:textId="77777777" w:rsidR="00C820B8" w:rsidRPr="0064652A" w:rsidRDefault="008D7FC6">
            <w:pPr>
              <w:jc w:val="right"/>
              <w:rPr>
                <w:color w:val="000000"/>
                <w:sz w:val="20"/>
                <w:szCs w:val="20"/>
              </w:rPr>
            </w:pPr>
            <w:r w:rsidRPr="0064652A">
              <w:rPr>
                <w:color w:val="000000"/>
                <w:sz w:val="20"/>
                <w:szCs w:val="20"/>
              </w:rPr>
              <w:t>529</w:t>
            </w:r>
          </w:p>
        </w:tc>
        <w:tc>
          <w:tcPr>
            <w:tcW w:w="50" w:type="pct"/>
            <w:noWrap/>
            <w:tcMar>
              <w:top w:w="5" w:type="dxa"/>
              <w:left w:w="5" w:type="dxa"/>
              <w:bottom w:w="5" w:type="dxa"/>
              <w:right w:w="5" w:type="dxa"/>
            </w:tcMar>
            <w:vAlign w:val="bottom"/>
            <w:hideMark/>
          </w:tcPr>
          <w:p w14:paraId="2095773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10BEE2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1BBE7DE"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00BB151B" w14:textId="77777777" w:rsidR="00C820B8" w:rsidRPr="0064652A" w:rsidRDefault="008D7FC6">
            <w:pPr>
              <w:jc w:val="right"/>
              <w:rPr>
                <w:color w:val="000000"/>
                <w:sz w:val="20"/>
                <w:szCs w:val="20"/>
              </w:rPr>
            </w:pPr>
            <w:r w:rsidRPr="0064652A">
              <w:rPr>
                <w:color w:val="000000"/>
                <w:sz w:val="20"/>
                <w:szCs w:val="20"/>
              </w:rPr>
              <w:t>79,792</w:t>
            </w:r>
          </w:p>
        </w:tc>
        <w:tc>
          <w:tcPr>
            <w:tcW w:w="50" w:type="pct"/>
            <w:noWrap/>
            <w:tcMar>
              <w:top w:w="5" w:type="dxa"/>
              <w:left w:w="5" w:type="dxa"/>
              <w:bottom w:w="5" w:type="dxa"/>
              <w:right w:w="5" w:type="dxa"/>
            </w:tcMar>
            <w:vAlign w:val="bottom"/>
            <w:hideMark/>
          </w:tcPr>
          <w:p w14:paraId="24255E0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895661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679ADF9"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2513FB21" w14:textId="77777777" w:rsidR="00C820B8" w:rsidRPr="0064652A" w:rsidRDefault="008D7FC6">
            <w:pPr>
              <w:jc w:val="right"/>
              <w:rPr>
                <w:color w:val="000000"/>
                <w:sz w:val="20"/>
                <w:szCs w:val="20"/>
              </w:rPr>
            </w:pPr>
            <w:r w:rsidRPr="0064652A">
              <w:rPr>
                <w:color w:val="000000"/>
                <w:sz w:val="20"/>
                <w:szCs w:val="20"/>
              </w:rPr>
              <w:t>(23,611</w:t>
            </w:r>
          </w:p>
        </w:tc>
        <w:tc>
          <w:tcPr>
            <w:tcW w:w="50" w:type="pct"/>
            <w:noWrap/>
            <w:tcMar>
              <w:top w:w="5" w:type="dxa"/>
              <w:left w:w="5" w:type="dxa"/>
              <w:bottom w:w="5" w:type="dxa"/>
              <w:right w:w="5" w:type="dxa"/>
            </w:tcMar>
            <w:vAlign w:val="bottom"/>
            <w:hideMark/>
          </w:tcPr>
          <w:p w14:paraId="0A95FA62"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36B3297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24A85FC"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5002E086" w14:textId="77777777" w:rsidR="00C820B8" w:rsidRPr="0064652A" w:rsidRDefault="008D7FC6">
            <w:pPr>
              <w:jc w:val="right"/>
              <w:rPr>
                <w:color w:val="000000"/>
                <w:sz w:val="20"/>
                <w:szCs w:val="20"/>
              </w:rPr>
            </w:pPr>
            <w:r w:rsidRPr="0064652A">
              <w:rPr>
                <w:color w:val="000000"/>
                <w:sz w:val="20"/>
                <w:szCs w:val="20"/>
              </w:rPr>
              <w:t>(33,201</w:t>
            </w:r>
          </w:p>
        </w:tc>
        <w:tc>
          <w:tcPr>
            <w:tcW w:w="50" w:type="pct"/>
            <w:noWrap/>
            <w:tcMar>
              <w:top w:w="5" w:type="dxa"/>
              <w:left w:w="5" w:type="dxa"/>
              <w:bottom w:w="5" w:type="dxa"/>
              <w:right w:w="5" w:type="dxa"/>
            </w:tcMar>
            <w:vAlign w:val="bottom"/>
            <w:hideMark/>
          </w:tcPr>
          <w:p w14:paraId="196C5591"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6C1B49D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DEC4605"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1C471F56" w14:textId="77777777" w:rsidR="00C820B8" w:rsidRPr="0064652A" w:rsidRDefault="008D7FC6">
            <w:pPr>
              <w:jc w:val="right"/>
              <w:rPr>
                <w:color w:val="000000"/>
                <w:sz w:val="20"/>
                <w:szCs w:val="20"/>
              </w:rPr>
            </w:pPr>
            <w:r w:rsidRPr="0064652A">
              <w:rPr>
                <w:color w:val="000000"/>
                <w:sz w:val="20"/>
                <w:szCs w:val="20"/>
              </w:rPr>
              <w:t>26,819</w:t>
            </w:r>
          </w:p>
        </w:tc>
        <w:tc>
          <w:tcPr>
            <w:tcW w:w="50" w:type="pct"/>
            <w:noWrap/>
            <w:tcMar>
              <w:top w:w="5" w:type="dxa"/>
              <w:left w:w="5" w:type="dxa"/>
              <w:bottom w:w="5" w:type="dxa"/>
              <w:right w:w="5" w:type="dxa"/>
            </w:tcMar>
            <w:vAlign w:val="bottom"/>
            <w:hideMark/>
          </w:tcPr>
          <w:p w14:paraId="6F89E0E9" w14:textId="77777777" w:rsidR="00C820B8" w:rsidRPr="0064652A" w:rsidRDefault="008D7FC6">
            <w:pPr>
              <w:rPr>
                <w:color w:val="000000"/>
                <w:sz w:val="20"/>
                <w:szCs w:val="20"/>
              </w:rPr>
            </w:pPr>
            <w:r w:rsidRPr="0064652A">
              <w:rPr>
                <w:color w:val="000000"/>
                <w:sz w:val="20"/>
                <w:szCs w:val="20"/>
              </w:rPr>
              <w:t> </w:t>
            </w:r>
          </w:p>
        </w:tc>
      </w:tr>
      <w:tr w:rsidR="00C820B8" w:rsidRPr="0064652A" w14:paraId="152216A3" w14:textId="77777777">
        <w:tc>
          <w:tcPr>
            <w:tcW w:w="0" w:type="auto"/>
            <w:tcMar>
              <w:top w:w="5" w:type="dxa"/>
              <w:left w:w="5" w:type="dxa"/>
              <w:bottom w:w="5" w:type="dxa"/>
              <w:right w:w="5" w:type="dxa"/>
            </w:tcMar>
            <w:vAlign w:val="bottom"/>
            <w:hideMark/>
          </w:tcPr>
          <w:p w14:paraId="117D0C00" w14:textId="77777777" w:rsidR="00C820B8" w:rsidRPr="0064652A" w:rsidRDefault="008D7FC6">
            <w:pPr>
              <w:rPr>
                <w:color w:val="000000"/>
                <w:sz w:val="20"/>
                <w:szCs w:val="20"/>
              </w:rPr>
            </w:pPr>
            <w:r w:rsidRPr="0064652A">
              <w:rPr>
                <w:color w:val="000000"/>
                <w:sz w:val="20"/>
                <w:szCs w:val="20"/>
              </w:rPr>
              <w:t>Net loss</w:t>
            </w:r>
          </w:p>
        </w:tc>
        <w:tc>
          <w:tcPr>
            <w:tcW w:w="50" w:type="pct"/>
            <w:tcMar>
              <w:top w:w="5" w:type="dxa"/>
              <w:left w:w="5" w:type="dxa"/>
              <w:bottom w:w="5" w:type="dxa"/>
              <w:right w:w="5" w:type="dxa"/>
            </w:tcMar>
            <w:vAlign w:val="bottom"/>
            <w:hideMark/>
          </w:tcPr>
          <w:p w14:paraId="05420F68"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255AD1F" w14:textId="77777777" w:rsidR="00C820B8" w:rsidRPr="0064652A" w:rsidRDefault="008D7FC6">
            <w:pPr>
              <w:rPr>
                <w:color w:val="000000"/>
                <w:sz w:val="20"/>
                <w:szCs w:val="20"/>
              </w:rPr>
            </w:pPr>
            <w:r w:rsidRPr="0064652A">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3BDF5BC6"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02D088C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51C2FEF"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5679E0B" w14:textId="77777777" w:rsidR="00C820B8" w:rsidRPr="0064652A" w:rsidRDefault="008D7FC6">
            <w:pPr>
              <w:rPr>
                <w:color w:val="000000"/>
                <w:sz w:val="20"/>
                <w:szCs w:val="20"/>
              </w:rPr>
            </w:pPr>
            <w:r w:rsidRPr="0064652A">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23270203"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2A84E3D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72666A8"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73D1EEA" w14:textId="77777777" w:rsidR="00C820B8" w:rsidRPr="0064652A" w:rsidRDefault="008D7FC6">
            <w:pPr>
              <w:rPr>
                <w:color w:val="000000"/>
                <w:sz w:val="20"/>
                <w:szCs w:val="20"/>
              </w:rPr>
            </w:pPr>
            <w:r w:rsidRPr="0064652A">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6ED7AF5A"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636F005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46BD734"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82BAD13" w14:textId="77777777" w:rsidR="00C820B8" w:rsidRPr="0064652A" w:rsidRDefault="008D7FC6">
            <w:pPr>
              <w:rPr>
                <w:color w:val="000000"/>
                <w:sz w:val="20"/>
                <w:szCs w:val="20"/>
              </w:rPr>
            </w:pPr>
            <w:r w:rsidRPr="0064652A">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2E9B7ACF"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1DC326E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2B90FC3"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09E987C" w14:textId="77777777" w:rsidR="00C820B8" w:rsidRPr="0064652A" w:rsidRDefault="008D7FC6">
            <w:pPr>
              <w:rPr>
                <w:color w:val="000000"/>
                <w:sz w:val="20"/>
                <w:szCs w:val="20"/>
              </w:rPr>
            </w:pPr>
            <w:r w:rsidRPr="0064652A">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0F4CB56D" w14:textId="77777777" w:rsidR="00C820B8" w:rsidRPr="0064652A" w:rsidRDefault="008D7FC6">
            <w:pPr>
              <w:jc w:val="right"/>
              <w:rPr>
                <w:color w:val="000000"/>
                <w:sz w:val="20"/>
                <w:szCs w:val="20"/>
              </w:rPr>
            </w:pPr>
            <w:r w:rsidRPr="0064652A">
              <w:rPr>
                <w:color w:val="000000"/>
                <w:sz w:val="20"/>
                <w:szCs w:val="20"/>
              </w:rPr>
              <w:t>(1,471</w:t>
            </w:r>
          </w:p>
        </w:tc>
        <w:tc>
          <w:tcPr>
            <w:tcW w:w="50" w:type="pct"/>
            <w:noWrap/>
            <w:tcMar>
              <w:top w:w="5" w:type="dxa"/>
              <w:left w:w="5" w:type="dxa"/>
              <w:bottom w:w="20" w:type="dxa"/>
              <w:right w:w="5" w:type="dxa"/>
            </w:tcMar>
            <w:vAlign w:val="bottom"/>
            <w:hideMark/>
          </w:tcPr>
          <w:p w14:paraId="0CD8CB20"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73F54AC3"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4420743" w14:textId="77777777" w:rsidR="00C820B8" w:rsidRPr="0064652A" w:rsidRDefault="008D7FC6">
            <w:pPr>
              <w:rPr>
                <w:color w:val="000000"/>
                <w:sz w:val="20"/>
                <w:szCs w:val="20"/>
              </w:rPr>
            </w:pPr>
            <w:r w:rsidRPr="0064652A">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141D68E3"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474D943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63D0F2E"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F7C0677" w14:textId="77777777" w:rsidR="00C820B8" w:rsidRPr="0064652A" w:rsidRDefault="008D7FC6">
            <w:pPr>
              <w:rPr>
                <w:color w:val="000000"/>
                <w:sz w:val="20"/>
                <w:szCs w:val="20"/>
              </w:rPr>
            </w:pPr>
            <w:r w:rsidRPr="0064652A">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0410EA43" w14:textId="77777777" w:rsidR="00C820B8" w:rsidRPr="0064652A" w:rsidRDefault="008D7FC6">
            <w:pPr>
              <w:jc w:val="right"/>
              <w:rPr>
                <w:color w:val="000000"/>
                <w:sz w:val="20"/>
                <w:szCs w:val="20"/>
              </w:rPr>
            </w:pPr>
            <w:r w:rsidRPr="0064652A">
              <w:rPr>
                <w:color w:val="000000"/>
                <w:sz w:val="20"/>
                <w:szCs w:val="20"/>
              </w:rPr>
              <w:t>(1,471</w:t>
            </w:r>
          </w:p>
        </w:tc>
        <w:tc>
          <w:tcPr>
            <w:tcW w:w="50" w:type="pct"/>
            <w:noWrap/>
            <w:tcMar>
              <w:top w:w="5" w:type="dxa"/>
              <w:left w:w="5" w:type="dxa"/>
              <w:bottom w:w="20" w:type="dxa"/>
              <w:right w:w="5" w:type="dxa"/>
            </w:tcMar>
            <w:vAlign w:val="bottom"/>
            <w:hideMark/>
          </w:tcPr>
          <w:p w14:paraId="17F7B687" w14:textId="77777777" w:rsidR="00C820B8" w:rsidRPr="0064652A" w:rsidRDefault="008D7FC6">
            <w:pPr>
              <w:rPr>
                <w:color w:val="000000"/>
                <w:sz w:val="20"/>
                <w:szCs w:val="20"/>
              </w:rPr>
            </w:pPr>
            <w:r w:rsidRPr="0064652A">
              <w:rPr>
                <w:color w:val="000000"/>
                <w:sz w:val="20"/>
                <w:szCs w:val="20"/>
              </w:rPr>
              <w:t>)</w:t>
            </w:r>
          </w:p>
        </w:tc>
      </w:tr>
      <w:tr w:rsidR="00C820B8" w:rsidRPr="0064652A" w14:paraId="00B68FB9" w14:textId="77777777">
        <w:tc>
          <w:tcPr>
            <w:tcW w:w="0" w:type="auto"/>
            <w:tcMar>
              <w:top w:w="5" w:type="dxa"/>
              <w:left w:w="5" w:type="dxa"/>
              <w:bottom w:w="5" w:type="dxa"/>
              <w:right w:w="5" w:type="dxa"/>
            </w:tcMar>
            <w:vAlign w:val="bottom"/>
            <w:hideMark/>
          </w:tcPr>
          <w:p w14:paraId="57CB2A87" w14:textId="77777777" w:rsidR="00C820B8" w:rsidRPr="0064652A" w:rsidRDefault="008D7FC6">
            <w:pPr>
              <w:rPr>
                <w:color w:val="000000"/>
                <w:sz w:val="20"/>
                <w:szCs w:val="20"/>
              </w:rPr>
            </w:pPr>
            <w:r w:rsidRPr="0064652A">
              <w:rPr>
                <w:color w:val="000000"/>
                <w:sz w:val="20"/>
                <w:szCs w:val="20"/>
              </w:rPr>
              <w:t>Balance — December 31, 2022</w:t>
            </w:r>
          </w:p>
        </w:tc>
        <w:tc>
          <w:tcPr>
            <w:tcW w:w="50" w:type="pct"/>
            <w:tcMar>
              <w:top w:w="5" w:type="dxa"/>
              <w:left w:w="5" w:type="dxa"/>
              <w:bottom w:w="5" w:type="dxa"/>
              <w:right w:w="5" w:type="dxa"/>
            </w:tcMar>
            <w:vAlign w:val="bottom"/>
            <w:hideMark/>
          </w:tcPr>
          <w:p w14:paraId="282B698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47CAD93"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5E1B9D18" w14:textId="77777777" w:rsidR="00C820B8" w:rsidRPr="0064652A" w:rsidRDefault="008D7FC6">
            <w:pPr>
              <w:jc w:val="right"/>
              <w:rPr>
                <w:color w:val="000000"/>
                <w:sz w:val="20"/>
                <w:szCs w:val="20"/>
              </w:rPr>
            </w:pPr>
            <w:r w:rsidRPr="0064652A">
              <w:rPr>
                <w:color w:val="000000"/>
                <w:sz w:val="20"/>
                <w:szCs w:val="20"/>
              </w:rPr>
              <w:t>3,310</w:t>
            </w:r>
          </w:p>
        </w:tc>
        <w:tc>
          <w:tcPr>
            <w:tcW w:w="50" w:type="pct"/>
            <w:noWrap/>
            <w:tcMar>
              <w:top w:w="5" w:type="dxa"/>
              <w:left w:w="5" w:type="dxa"/>
              <w:bottom w:w="5" w:type="dxa"/>
              <w:right w:w="5" w:type="dxa"/>
            </w:tcMar>
            <w:vAlign w:val="bottom"/>
            <w:hideMark/>
          </w:tcPr>
          <w:p w14:paraId="6466808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B5CA61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C5C6FEF" w14:textId="77777777" w:rsidR="00C820B8" w:rsidRPr="0064652A" w:rsidRDefault="008D7FC6">
            <w:pPr>
              <w:rPr>
                <w:color w:val="000000"/>
                <w:sz w:val="20"/>
                <w:szCs w:val="20"/>
              </w:rPr>
            </w:pPr>
            <w:r w:rsidRPr="0064652A">
              <w:rPr>
                <w:color w:val="000000"/>
                <w:sz w:val="20"/>
                <w:szCs w:val="20"/>
              </w:rPr>
              <w:t> </w:t>
            </w:r>
          </w:p>
        </w:tc>
        <w:tc>
          <w:tcPr>
            <w:tcW w:w="350" w:type="pct"/>
            <w:tcMar>
              <w:top w:w="5" w:type="dxa"/>
              <w:left w:w="5" w:type="dxa"/>
              <w:bottom w:w="5" w:type="dxa"/>
              <w:right w:w="5" w:type="dxa"/>
            </w:tcMar>
            <w:vAlign w:val="bottom"/>
            <w:hideMark/>
          </w:tcPr>
          <w:p w14:paraId="413F0AC7" w14:textId="77777777" w:rsidR="00C820B8" w:rsidRPr="0064652A" w:rsidRDefault="008D7FC6">
            <w:pPr>
              <w:jc w:val="right"/>
              <w:rPr>
                <w:color w:val="000000"/>
                <w:sz w:val="20"/>
                <w:szCs w:val="20"/>
              </w:rPr>
            </w:pPr>
            <w:r w:rsidRPr="0064652A">
              <w:rPr>
                <w:color w:val="000000"/>
                <w:sz w:val="20"/>
                <w:szCs w:val="20"/>
              </w:rPr>
              <w:t>52,965,797</w:t>
            </w:r>
          </w:p>
        </w:tc>
        <w:tc>
          <w:tcPr>
            <w:tcW w:w="50" w:type="pct"/>
            <w:noWrap/>
            <w:tcMar>
              <w:top w:w="5" w:type="dxa"/>
              <w:left w:w="5" w:type="dxa"/>
              <w:bottom w:w="5" w:type="dxa"/>
              <w:right w:w="5" w:type="dxa"/>
            </w:tcMar>
            <w:vAlign w:val="bottom"/>
            <w:hideMark/>
          </w:tcPr>
          <w:p w14:paraId="2A8D3DC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7889C3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EDDD368"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3F040610" w14:textId="77777777" w:rsidR="00C820B8" w:rsidRPr="0064652A" w:rsidRDefault="008D7FC6">
            <w:pPr>
              <w:jc w:val="right"/>
              <w:rPr>
                <w:color w:val="000000"/>
                <w:sz w:val="20"/>
                <w:szCs w:val="20"/>
              </w:rPr>
            </w:pPr>
            <w:r w:rsidRPr="0064652A">
              <w:rPr>
                <w:color w:val="000000"/>
                <w:sz w:val="20"/>
                <w:szCs w:val="20"/>
              </w:rPr>
              <w:t>529</w:t>
            </w:r>
          </w:p>
        </w:tc>
        <w:tc>
          <w:tcPr>
            <w:tcW w:w="50" w:type="pct"/>
            <w:noWrap/>
            <w:tcMar>
              <w:top w:w="5" w:type="dxa"/>
              <w:left w:w="5" w:type="dxa"/>
              <w:bottom w:w="5" w:type="dxa"/>
              <w:right w:w="5" w:type="dxa"/>
            </w:tcMar>
            <w:vAlign w:val="bottom"/>
            <w:hideMark/>
          </w:tcPr>
          <w:p w14:paraId="1869600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D9548E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319A7E6"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0A4AD2F6" w14:textId="77777777" w:rsidR="00C820B8" w:rsidRPr="0064652A" w:rsidRDefault="008D7FC6">
            <w:pPr>
              <w:jc w:val="right"/>
              <w:rPr>
                <w:color w:val="000000"/>
                <w:sz w:val="20"/>
                <w:szCs w:val="20"/>
              </w:rPr>
            </w:pPr>
            <w:r w:rsidRPr="0064652A">
              <w:rPr>
                <w:color w:val="000000"/>
                <w:sz w:val="20"/>
                <w:szCs w:val="20"/>
              </w:rPr>
              <w:t>79,792</w:t>
            </w:r>
          </w:p>
        </w:tc>
        <w:tc>
          <w:tcPr>
            <w:tcW w:w="50" w:type="pct"/>
            <w:noWrap/>
            <w:tcMar>
              <w:top w:w="5" w:type="dxa"/>
              <w:left w:w="5" w:type="dxa"/>
              <w:bottom w:w="5" w:type="dxa"/>
              <w:right w:w="5" w:type="dxa"/>
            </w:tcMar>
            <w:vAlign w:val="bottom"/>
            <w:hideMark/>
          </w:tcPr>
          <w:p w14:paraId="738BE7E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94BA2A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5AAEDCE"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4971C037" w14:textId="77777777" w:rsidR="00C820B8" w:rsidRPr="0064652A" w:rsidRDefault="008D7FC6">
            <w:pPr>
              <w:jc w:val="right"/>
              <w:rPr>
                <w:color w:val="000000"/>
                <w:sz w:val="20"/>
                <w:szCs w:val="20"/>
              </w:rPr>
            </w:pPr>
            <w:r w:rsidRPr="0064652A">
              <w:rPr>
                <w:color w:val="000000"/>
                <w:sz w:val="20"/>
                <w:szCs w:val="20"/>
              </w:rPr>
              <w:t>(25,082</w:t>
            </w:r>
          </w:p>
        </w:tc>
        <w:tc>
          <w:tcPr>
            <w:tcW w:w="50" w:type="pct"/>
            <w:noWrap/>
            <w:tcMar>
              <w:top w:w="5" w:type="dxa"/>
              <w:left w:w="5" w:type="dxa"/>
              <w:bottom w:w="5" w:type="dxa"/>
              <w:right w:w="5" w:type="dxa"/>
            </w:tcMar>
            <w:vAlign w:val="bottom"/>
            <w:hideMark/>
          </w:tcPr>
          <w:p w14:paraId="2BE7E9A7"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7AFB862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E577CBD"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1D59130A" w14:textId="77777777" w:rsidR="00C820B8" w:rsidRPr="0064652A" w:rsidRDefault="008D7FC6">
            <w:pPr>
              <w:jc w:val="right"/>
              <w:rPr>
                <w:color w:val="000000"/>
                <w:sz w:val="20"/>
                <w:szCs w:val="20"/>
              </w:rPr>
            </w:pPr>
            <w:r w:rsidRPr="0064652A">
              <w:rPr>
                <w:color w:val="000000"/>
                <w:sz w:val="20"/>
                <w:szCs w:val="20"/>
              </w:rPr>
              <w:t>(33,201</w:t>
            </w:r>
          </w:p>
        </w:tc>
        <w:tc>
          <w:tcPr>
            <w:tcW w:w="50" w:type="pct"/>
            <w:noWrap/>
            <w:tcMar>
              <w:top w:w="5" w:type="dxa"/>
              <w:left w:w="5" w:type="dxa"/>
              <w:bottom w:w="5" w:type="dxa"/>
              <w:right w:w="5" w:type="dxa"/>
            </w:tcMar>
            <w:vAlign w:val="bottom"/>
            <w:hideMark/>
          </w:tcPr>
          <w:p w14:paraId="7D3C18D5"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0591980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D82B0CB" w14:textId="77777777" w:rsidR="00C820B8" w:rsidRPr="0064652A" w:rsidRDefault="008D7FC6">
            <w:pPr>
              <w:rPr>
                <w:color w:val="000000"/>
                <w:sz w:val="20"/>
                <w:szCs w:val="20"/>
              </w:rPr>
            </w:pPr>
            <w:r w:rsidRPr="0064652A">
              <w:rPr>
                <w:color w:val="000000"/>
                <w:sz w:val="20"/>
                <w:szCs w:val="20"/>
              </w:rPr>
              <w:t>$</w:t>
            </w:r>
          </w:p>
        </w:tc>
        <w:tc>
          <w:tcPr>
            <w:tcW w:w="350" w:type="pct"/>
            <w:tcMar>
              <w:top w:w="5" w:type="dxa"/>
              <w:left w:w="5" w:type="dxa"/>
              <w:bottom w:w="5" w:type="dxa"/>
              <w:right w:w="5" w:type="dxa"/>
            </w:tcMar>
            <w:vAlign w:val="bottom"/>
            <w:hideMark/>
          </w:tcPr>
          <w:p w14:paraId="59C52A92" w14:textId="77777777" w:rsidR="00C820B8" w:rsidRPr="0064652A" w:rsidRDefault="008D7FC6">
            <w:pPr>
              <w:jc w:val="right"/>
              <w:rPr>
                <w:color w:val="000000"/>
                <w:sz w:val="20"/>
                <w:szCs w:val="20"/>
              </w:rPr>
            </w:pPr>
            <w:r w:rsidRPr="0064652A">
              <w:rPr>
                <w:color w:val="000000"/>
                <w:sz w:val="20"/>
                <w:szCs w:val="20"/>
              </w:rPr>
              <w:t>25,348</w:t>
            </w:r>
          </w:p>
        </w:tc>
        <w:tc>
          <w:tcPr>
            <w:tcW w:w="50" w:type="pct"/>
            <w:noWrap/>
            <w:tcMar>
              <w:top w:w="5" w:type="dxa"/>
              <w:left w:w="5" w:type="dxa"/>
              <w:bottom w:w="5" w:type="dxa"/>
              <w:right w:w="5" w:type="dxa"/>
            </w:tcMar>
            <w:vAlign w:val="bottom"/>
            <w:hideMark/>
          </w:tcPr>
          <w:p w14:paraId="7BFF002C" w14:textId="77777777" w:rsidR="00C820B8" w:rsidRPr="0064652A" w:rsidRDefault="008D7FC6">
            <w:pPr>
              <w:rPr>
                <w:color w:val="000000"/>
                <w:sz w:val="20"/>
                <w:szCs w:val="20"/>
              </w:rPr>
            </w:pPr>
            <w:r w:rsidRPr="0064652A">
              <w:rPr>
                <w:color w:val="000000"/>
                <w:sz w:val="20"/>
                <w:szCs w:val="20"/>
              </w:rPr>
              <w:t> </w:t>
            </w:r>
          </w:p>
        </w:tc>
      </w:tr>
    </w:tbl>
    <w:p w14:paraId="76B469DF" w14:textId="77777777" w:rsidR="00C820B8" w:rsidRPr="0064652A" w:rsidRDefault="008D7FC6">
      <w:pPr>
        <w:rPr>
          <w:sz w:val="20"/>
          <w:szCs w:val="20"/>
        </w:rPr>
      </w:pPr>
      <w:r w:rsidRPr="0064652A">
        <w:rPr>
          <w:rStyle w:val="ins"/>
          <w:sz w:val="20"/>
          <w:szCs w:val="20"/>
        </w:rPr>
        <w:t>(Not Reviewed)</w:t>
      </w:r>
    </w:p>
    <w:p w14:paraId="024E7CAA" w14:textId="77777777" w:rsidR="00C820B8" w:rsidRPr="0064652A" w:rsidRDefault="008D7FC6">
      <w:pPr>
        <w:jc w:val="center"/>
        <w:rPr>
          <w:sz w:val="20"/>
          <w:szCs w:val="20"/>
        </w:rPr>
      </w:pPr>
      <w:r w:rsidRPr="0064652A">
        <w:rPr>
          <w:sz w:val="20"/>
          <w:szCs w:val="20"/>
        </w:rPr>
        <w:t>The accompanying notes are an integral part of the consolidated financial statements.</w:t>
      </w:r>
    </w:p>
    <w:p w14:paraId="18112CF3" w14:textId="77777777" w:rsidR="00C820B8" w:rsidRPr="0064652A" w:rsidRDefault="008D7FC6">
      <w:pPr>
        <w:rPr>
          <w:sz w:val="20"/>
          <w:szCs w:val="20"/>
        </w:rPr>
      </w:pPr>
      <w:r w:rsidRPr="0064652A">
        <w:rPr>
          <w:sz w:val="20"/>
          <w:szCs w:val="20"/>
        </w:rPr>
        <w:t> </w:t>
      </w:r>
    </w:p>
    <w:p w14:paraId="65F619AE" w14:textId="77777777" w:rsidR="00C820B8" w:rsidRPr="0064652A" w:rsidRDefault="008D7FC6">
      <w:pPr>
        <w:jc w:val="center"/>
        <w:rPr>
          <w:sz w:val="20"/>
          <w:szCs w:val="20"/>
        </w:rPr>
      </w:pPr>
      <w:r w:rsidRPr="0064652A">
        <w:rPr>
          <w:sz w:val="20"/>
          <w:szCs w:val="20"/>
        </w:rPr>
        <w:t>6</w:t>
      </w:r>
    </w:p>
    <w:p w14:paraId="2D4409EB"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263D50D1" w14:textId="77777777" w:rsidR="00C820B8" w:rsidRPr="0064652A" w:rsidRDefault="008D7FC6">
      <w:pPr>
        <w:rPr>
          <w:sz w:val="20"/>
          <w:szCs w:val="20"/>
        </w:rPr>
      </w:pPr>
      <w:r w:rsidRPr="0064652A">
        <w:rPr>
          <w:sz w:val="20"/>
          <w:szCs w:val="20"/>
        </w:rPr>
        <w:t> </w:t>
      </w:r>
    </w:p>
    <w:p w14:paraId="1952309A" w14:textId="77777777" w:rsidR="00C820B8" w:rsidRPr="0064652A" w:rsidRDefault="008D7FC6">
      <w:pPr>
        <w:jc w:val="center"/>
        <w:rPr>
          <w:sz w:val="20"/>
          <w:szCs w:val="20"/>
        </w:rPr>
      </w:pPr>
      <w:bookmarkStart w:id="8" w:name="notes"/>
      <w:bookmarkEnd w:id="8"/>
      <w:r w:rsidRPr="0064652A">
        <w:rPr>
          <w:b/>
          <w:bCs/>
          <w:sz w:val="20"/>
          <w:szCs w:val="20"/>
        </w:rPr>
        <w:t>EMERSON RADIO CORP. AND SUBSIDIARIES</w:t>
      </w:r>
    </w:p>
    <w:p w14:paraId="011F5326" w14:textId="77777777" w:rsidR="00C820B8" w:rsidRPr="0064652A" w:rsidRDefault="008D7FC6">
      <w:pPr>
        <w:jc w:val="center"/>
        <w:rPr>
          <w:sz w:val="20"/>
          <w:szCs w:val="20"/>
        </w:rPr>
      </w:pPr>
      <w:r w:rsidRPr="0064652A">
        <w:rPr>
          <w:b/>
          <w:bCs/>
          <w:sz w:val="20"/>
          <w:szCs w:val="20"/>
        </w:rPr>
        <w:t>NOTES TO INTERIM CONSOLIDATED FINANCIAL STATEMENTS</w:t>
      </w:r>
    </w:p>
    <w:p w14:paraId="29C58C0F" w14:textId="77777777" w:rsidR="00C820B8" w:rsidRPr="0064652A" w:rsidRDefault="008D7FC6">
      <w:pPr>
        <w:jc w:val="center"/>
        <w:rPr>
          <w:sz w:val="20"/>
          <w:szCs w:val="20"/>
        </w:rPr>
      </w:pPr>
      <w:r w:rsidRPr="0064652A">
        <w:rPr>
          <w:b/>
          <w:bCs/>
          <w:sz w:val="20"/>
          <w:szCs w:val="20"/>
        </w:rPr>
        <w:t>(Unaudited</w:t>
      </w:r>
      <w:r w:rsidRPr="0064652A">
        <w:rPr>
          <w:rStyle w:val="ins"/>
          <w:b/>
          <w:bCs/>
          <w:sz w:val="20"/>
          <w:szCs w:val="20"/>
        </w:rPr>
        <w:t xml:space="preserve"> and Not Reviewed</w:t>
      </w:r>
      <w:r w:rsidRPr="0064652A">
        <w:rPr>
          <w:b/>
          <w:bCs/>
          <w:sz w:val="20"/>
          <w:szCs w:val="20"/>
        </w:rPr>
        <w:t>)</w:t>
      </w:r>
    </w:p>
    <w:p w14:paraId="1A9AD838" w14:textId="77777777" w:rsidR="00C820B8" w:rsidRPr="0064652A" w:rsidRDefault="008D7FC6">
      <w:pPr>
        <w:rPr>
          <w:sz w:val="20"/>
          <w:szCs w:val="20"/>
        </w:rPr>
      </w:pPr>
      <w:r w:rsidRPr="0064652A">
        <w:rPr>
          <w:sz w:val="20"/>
          <w:szCs w:val="20"/>
        </w:rPr>
        <w:t> </w:t>
      </w:r>
    </w:p>
    <w:p w14:paraId="4165A73C" w14:textId="77777777" w:rsidR="00C820B8" w:rsidRPr="0064652A" w:rsidRDefault="008D7FC6">
      <w:pPr>
        <w:rPr>
          <w:sz w:val="20"/>
          <w:szCs w:val="20"/>
        </w:rPr>
      </w:pPr>
      <w:r w:rsidRPr="0064652A">
        <w:rPr>
          <w:sz w:val="20"/>
          <w:szCs w:val="20"/>
        </w:rPr>
        <w:t> </w:t>
      </w:r>
    </w:p>
    <w:p w14:paraId="73CD848B" w14:textId="77777777" w:rsidR="00C820B8" w:rsidRPr="0064652A" w:rsidRDefault="008D7FC6">
      <w:r w:rsidRPr="0064652A">
        <w:t> </w:t>
      </w:r>
    </w:p>
    <w:p w14:paraId="2E62C5A1" w14:textId="77777777" w:rsidR="00C820B8" w:rsidRPr="0064652A" w:rsidRDefault="008D7FC6">
      <w:pPr>
        <w:rPr>
          <w:sz w:val="20"/>
          <w:szCs w:val="20"/>
        </w:rPr>
      </w:pPr>
      <w:r w:rsidRPr="0064652A">
        <w:rPr>
          <w:b/>
          <w:bCs/>
          <w:sz w:val="20"/>
          <w:szCs w:val="20"/>
        </w:rPr>
        <w:t xml:space="preserve">NOTE 1 </w:t>
      </w:r>
      <w:r w:rsidRPr="0064652A">
        <w:rPr>
          <w:sz w:val="20"/>
          <w:szCs w:val="20"/>
        </w:rPr>
        <w:t>—</w:t>
      </w:r>
      <w:r w:rsidRPr="0064652A">
        <w:rPr>
          <w:b/>
          <w:bCs/>
          <w:sz w:val="20"/>
          <w:szCs w:val="20"/>
        </w:rPr>
        <w:t xml:space="preserve"> BACKGROUND AND BASIS OF PRESENTATION</w:t>
      </w:r>
    </w:p>
    <w:p w14:paraId="1E447227" w14:textId="77777777" w:rsidR="00C820B8" w:rsidRPr="0064652A" w:rsidRDefault="008D7FC6">
      <w:pPr>
        <w:rPr>
          <w:sz w:val="20"/>
          <w:szCs w:val="20"/>
        </w:rPr>
      </w:pPr>
      <w:r w:rsidRPr="0064652A">
        <w:rPr>
          <w:sz w:val="20"/>
          <w:szCs w:val="20"/>
        </w:rPr>
        <w:t> </w:t>
      </w:r>
    </w:p>
    <w:p w14:paraId="42DC12A4" w14:textId="77777777" w:rsidR="00C820B8" w:rsidRPr="0064652A" w:rsidRDefault="008D7FC6">
      <w:pPr>
        <w:ind w:firstLine="500"/>
        <w:rPr>
          <w:sz w:val="20"/>
          <w:szCs w:val="20"/>
        </w:rPr>
      </w:pPr>
      <w:r w:rsidRPr="0064652A">
        <w:rPr>
          <w:sz w:val="20"/>
          <w:szCs w:val="20"/>
        </w:rPr>
        <w:t>The consolidated financial statements include the accounts of Emerson Radio Corp. and its subsidiaries (“Emerson” or the “Company”). The Company designs, sources, imports and markets certain houseware and consumer electronic products, and licenses the Company’s trademarks for a variety of products.</w:t>
      </w:r>
    </w:p>
    <w:p w14:paraId="0FC3FA91" w14:textId="77777777" w:rsidR="00C820B8" w:rsidRPr="0064652A" w:rsidRDefault="008D7FC6">
      <w:pPr>
        <w:rPr>
          <w:sz w:val="20"/>
          <w:szCs w:val="20"/>
        </w:rPr>
      </w:pPr>
      <w:r w:rsidRPr="0064652A">
        <w:rPr>
          <w:sz w:val="20"/>
          <w:szCs w:val="20"/>
        </w:rPr>
        <w:t> </w:t>
      </w:r>
    </w:p>
    <w:p w14:paraId="6C70501C" w14:textId="77777777" w:rsidR="00C820B8" w:rsidRPr="0064652A" w:rsidRDefault="008D7FC6">
      <w:pPr>
        <w:ind w:firstLine="500"/>
        <w:rPr>
          <w:sz w:val="20"/>
          <w:szCs w:val="20"/>
        </w:rPr>
      </w:pPr>
      <w:r w:rsidRPr="0064652A">
        <w:rPr>
          <w:sz w:val="20"/>
          <w:szCs w:val="20"/>
        </w:rPr>
        <w:t>The unaudited interim consolidated financial statements reflect all normal and recurring adjustments that are, in the opinion of management, necessary to present a fair statement of the Company’s consolidated financial position as of </w:t>
      </w:r>
      <w:bookmarkStart w:id="9" w:name="led288631F2022881662678787046"/>
      <w:r w:rsidRPr="0064652A">
        <w:rPr>
          <w:sz w:val="20"/>
          <w:szCs w:val="20"/>
        </w:rPr>
        <w:t xml:space="preserve">December 31, 2023 and the results of operations for the </w:t>
      </w:r>
      <w:bookmarkStart w:id="10" w:name="led288631F2022881662678695358"/>
      <w:r w:rsidRPr="0064652A">
        <w:rPr>
          <w:sz w:val="20"/>
          <w:szCs w:val="20"/>
        </w:rPr>
        <w:t>three and nine month periods ended December 31, 2023 and December 31, 2022</w:t>
      </w:r>
      <w:bookmarkEnd w:id="10"/>
      <w:r w:rsidRPr="0064652A">
        <w:rPr>
          <w:sz w:val="20"/>
          <w:szCs w:val="20"/>
        </w:rPr>
        <w:t>. In the opinion of management, all adjustments (consisting of normal recurring accruals) considered necessary in order to make the financial statements not misleading have been included. All significant intercompany accounts and transactions have been eliminated in consolidation. The preparation of the unaudited interim consolidated financial statements requires management to make estimates and assumptions that affect the amounts reported in the financial statements and accompanying notes; actual results could materially differ from those estimates. The unaudited interim consolidated financial statements have been prepared pursuant to the rules and regulations of the SEC and accordingly do not include all of the disclosures normally made in the Company’s annual consolidated financial statements. Accordingly, these unaudited interim consolidated financial statements should be read in conjunction with the consolidated financial statements and notes thereto for the fiscal year ended </w:t>
      </w:r>
      <w:bookmarkStart w:id="11" w:name="led288631F2022881662680350936"/>
      <w:r w:rsidRPr="0064652A">
        <w:rPr>
          <w:sz w:val="20"/>
          <w:szCs w:val="20"/>
        </w:rPr>
        <w:t>March 31, 2023 (“fiscal 2023”), included in the Company’s Annual Report on Form 10-K, as amended, for fiscal 2023.</w:t>
      </w:r>
    </w:p>
    <w:p w14:paraId="2BBE2E4C" w14:textId="77777777" w:rsidR="00C820B8" w:rsidRPr="0064652A" w:rsidRDefault="008D7FC6">
      <w:pPr>
        <w:rPr>
          <w:sz w:val="20"/>
          <w:szCs w:val="20"/>
        </w:rPr>
      </w:pPr>
      <w:r w:rsidRPr="0064652A">
        <w:rPr>
          <w:sz w:val="20"/>
          <w:szCs w:val="20"/>
        </w:rPr>
        <w:t> </w:t>
      </w:r>
    </w:p>
    <w:p w14:paraId="3A02D148" w14:textId="77777777" w:rsidR="00C820B8" w:rsidRPr="0064652A" w:rsidRDefault="008D7FC6">
      <w:pPr>
        <w:ind w:firstLine="500"/>
        <w:rPr>
          <w:sz w:val="20"/>
          <w:szCs w:val="20"/>
        </w:rPr>
      </w:pPr>
      <w:r w:rsidRPr="0064652A">
        <w:rPr>
          <w:sz w:val="20"/>
          <w:szCs w:val="20"/>
        </w:rPr>
        <w:t>The results of operations for the </w:t>
      </w:r>
      <w:bookmarkStart w:id="12" w:name="led288631F2022881662679411849"/>
      <w:r w:rsidRPr="0064652A">
        <w:rPr>
          <w:sz w:val="20"/>
          <w:szCs w:val="20"/>
        </w:rPr>
        <w:t>three and nine month periods ended December 31, 2023</w:t>
      </w:r>
      <w:bookmarkEnd w:id="12"/>
      <w:r w:rsidRPr="0064652A">
        <w:rPr>
          <w:sz w:val="20"/>
          <w:szCs w:val="20"/>
        </w:rPr>
        <w:t xml:space="preserve"> are not necessarily indicative of the results of operations that may be expected for any other interim period or for the full year ending March 31, 2024 (“fiscal 2024”).</w:t>
      </w:r>
    </w:p>
    <w:p w14:paraId="19238F6D" w14:textId="77777777" w:rsidR="00C820B8" w:rsidRPr="0064652A" w:rsidRDefault="008D7FC6">
      <w:pPr>
        <w:rPr>
          <w:sz w:val="20"/>
          <w:szCs w:val="20"/>
        </w:rPr>
      </w:pPr>
      <w:r w:rsidRPr="0064652A">
        <w:rPr>
          <w:sz w:val="20"/>
          <w:szCs w:val="20"/>
        </w:rPr>
        <w:t> </w:t>
      </w:r>
    </w:p>
    <w:p w14:paraId="0441FB07" w14:textId="77777777" w:rsidR="00C820B8" w:rsidRPr="0064652A" w:rsidRDefault="008D7FC6">
      <w:pPr>
        <w:ind w:firstLine="500"/>
        <w:rPr>
          <w:sz w:val="20"/>
          <w:szCs w:val="20"/>
        </w:rPr>
      </w:pPr>
      <w:r w:rsidRPr="0064652A">
        <w:rPr>
          <w:sz w:val="20"/>
          <w:szCs w:val="20"/>
        </w:rPr>
        <w:t>Whenever necessary, reclassifications are made to conform the prior year’s consolidated financial statements to the current year’s presentation.</w:t>
      </w:r>
    </w:p>
    <w:p w14:paraId="7247F862" w14:textId="77777777" w:rsidR="00C820B8" w:rsidRPr="0064652A" w:rsidRDefault="008D7FC6">
      <w:pPr>
        <w:rPr>
          <w:sz w:val="20"/>
          <w:szCs w:val="20"/>
        </w:rPr>
      </w:pPr>
      <w:r w:rsidRPr="0064652A">
        <w:rPr>
          <w:sz w:val="20"/>
          <w:szCs w:val="20"/>
        </w:rPr>
        <w:t> </w:t>
      </w:r>
    </w:p>
    <w:p w14:paraId="4E10B452" w14:textId="77777777" w:rsidR="00C820B8" w:rsidRPr="0064652A" w:rsidRDefault="008D7FC6">
      <w:pPr>
        <w:rPr>
          <w:sz w:val="20"/>
          <w:szCs w:val="20"/>
        </w:rPr>
      </w:pPr>
      <w:r w:rsidRPr="0064652A">
        <w:rPr>
          <w:b/>
          <w:bCs/>
          <w:sz w:val="20"/>
          <w:szCs w:val="20"/>
        </w:rPr>
        <w:t>Recently Issued Accounting Pronouncements</w:t>
      </w:r>
    </w:p>
    <w:p w14:paraId="71E29D34" w14:textId="77777777" w:rsidR="00C820B8" w:rsidRPr="0064652A" w:rsidRDefault="008D7FC6">
      <w:pPr>
        <w:rPr>
          <w:sz w:val="20"/>
          <w:szCs w:val="20"/>
        </w:rPr>
      </w:pPr>
      <w:r w:rsidRPr="0064652A">
        <w:rPr>
          <w:sz w:val="20"/>
          <w:szCs w:val="20"/>
        </w:rPr>
        <w:t> </w:t>
      </w:r>
    </w:p>
    <w:p w14:paraId="1DB5D7EB" w14:textId="77777777" w:rsidR="00C820B8" w:rsidRPr="0064652A" w:rsidRDefault="008D7FC6">
      <w:pPr>
        <w:ind w:firstLine="500"/>
        <w:rPr>
          <w:sz w:val="20"/>
          <w:szCs w:val="20"/>
        </w:rPr>
      </w:pPr>
      <w:r w:rsidRPr="0064652A">
        <w:rPr>
          <w:sz w:val="20"/>
          <w:szCs w:val="20"/>
        </w:rPr>
        <w:t>The following Accounting Standards Updates (“ASUs”) were issued by the Financial Accounting Standards Board (“FASB”) which relate to or could relate to the Company as concerns the Company’s normal ongoing operations or the industry in which the Company operates.</w:t>
      </w:r>
    </w:p>
    <w:p w14:paraId="642907F1" w14:textId="77777777" w:rsidR="00C820B8" w:rsidRPr="0064652A" w:rsidRDefault="008D7FC6">
      <w:pPr>
        <w:rPr>
          <w:sz w:val="20"/>
          <w:szCs w:val="20"/>
        </w:rPr>
      </w:pPr>
      <w:r w:rsidRPr="0064652A">
        <w:rPr>
          <w:sz w:val="20"/>
          <w:szCs w:val="20"/>
        </w:rPr>
        <w:t> </w:t>
      </w:r>
    </w:p>
    <w:p w14:paraId="1522A3E3" w14:textId="77777777" w:rsidR="00C820B8" w:rsidRPr="0064652A" w:rsidRDefault="008D7FC6">
      <w:pPr>
        <w:ind w:firstLine="500"/>
        <w:rPr>
          <w:sz w:val="20"/>
          <w:szCs w:val="20"/>
        </w:rPr>
      </w:pPr>
      <w:r w:rsidRPr="0064652A">
        <w:rPr>
          <w:b/>
          <w:bCs/>
          <w:i/>
          <w:iCs/>
          <w:sz w:val="20"/>
          <w:szCs w:val="20"/>
        </w:rPr>
        <w:t xml:space="preserve">Accounting Standards Update 2019-12 </w:t>
      </w:r>
      <w:r w:rsidRPr="0064652A">
        <w:rPr>
          <w:i/>
          <w:iCs/>
          <w:sz w:val="20"/>
          <w:szCs w:val="20"/>
        </w:rPr>
        <w:t>“</w:t>
      </w:r>
      <w:r w:rsidRPr="0064652A">
        <w:rPr>
          <w:b/>
          <w:bCs/>
          <w:i/>
          <w:iCs/>
          <w:sz w:val="20"/>
          <w:szCs w:val="20"/>
        </w:rPr>
        <w:t xml:space="preserve">Income Taxes (Topic 740) </w:t>
      </w:r>
      <w:r w:rsidRPr="0064652A">
        <w:rPr>
          <w:i/>
          <w:iCs/>
          <w:sz w:val="20"/>
          <w:szCs w:val="20"/>
        </w:rPr>
        <w:t>–</w:t>
      </w:r>
      <w:r w:rsidRPr="0064652A">
        <w:rPr>
          <w:b/>
          <w:bCs/>
          <w:i/>
          <w:iCs/>
          <w:sz w:val="20"/>
          <w:szCs w:val="20"/>
        </w:rPr>
        <w:t xml:space="preserve"> Simplifying the Accounting for Income Taxes</w:t>
      </w:r>
      <w:r w:rsidRPr="0064652A">
        <w:rPr>
          <w:i/>
          <w:iCs/>
          <w:sz w:val="20"/>
          <w:szCs w:val="20"/>
        </w:rPr>
        <w:t>”</w:t>
      </w:r>
      <w:r w:rsidRPr="0064652A">
        <w:rPr>
          <w:b/>
          <w:bCs/>
          <w:i/>
          <w:iCs/>
          <w:sz w:val="20"/>
          <w:szCs w:val="20"/>
        </w:rPr>
        <w:t xml:space="preserve"> (Issued December 2019)</w:t>
      </w:r>
    </w:p>
    <w:p w14:paraId="6CF5EE30" w14:textId="77777777" w:rsidR="00C820B8" w:rsidRPr="0064652A" w:rsidRDefault="008D7FC6">
      <w:pPr>
        <w:rPr>
          <w:sz w:val="20"/>
          <w:szCs w:val="20"/>
        </w:rPr>
      </w:pPr>
      <w:r w:rsidRPr="0064652A">
        <w:rPr>
          <w:sz w:val="20"/>
          <w:szCs w:val="20"/>
        </w:rPr>
        <w:t> </w:t>
      </w:r>
    </w:p>
    <w:p w14:paraId="31BFA684" w14:textId="77777777" w:rsidR="00C820B8" w:rsidRPr="0064652A" w:rsidRDefault="008D7FC6">
      <w:pPr>
        <w:ind w:firstLine="500"/>
        <w:rPr>
          <w:sz w:val="20"/>
          <w:szCs w:val="20"/>
        </w:rPr>
      </w:pPr>
      <w:r w:rsidRPr="0064652A">
        <w:rPr>
          <w:sz w:val="20"/>
          <w:szCs w:val="20"/>
        </w:rPr>
        <w:t>In December 2019, the FASB issued ASU 2019-12, “Income Taxes (Topic 740) - Simplifying the Accounting for Income Taxes,” which is intended to simplify various aspects related to accounting for income taxes. ASU 2019-12 removes certain exceptions to the general principles in Topic 740 and also clarifies and amends existing guidance to improve consistent application. ASU 2019-12 is effective for fiscal years beginning after December 15, 2020. This standard took effect in the first quarter (June 2021) of the Company’s fiscal year ending March 31, 2022. The adoption of ASU 2019-12 had no material impact on the Company’s consolidated financial statements and related disclosures.</w:t>
      </w:r>
    </w:p>
    <w:p w14:paraId="2063F231" w14:textId="77777777" w:rsidR="00C820B8" w:rsidRPr="0064652A" w:rsidRDefault="008D7FC6">
      <w:pPr>
        <w:ind w:firstLine="500"/>
        <w:rPr>
          <w:sz w:val="20"/>
          <w:szCs w:val="20"/>
        </w:rPr>
      </w:pPr>
      <w:r w:rsidRPr="0064652A">
        <w:rPr>
          <w:sz w:val="20"/>
          <w:szCs w:val="20"/>
        </w:rPr>
        <w:t> </w:t>
      </w:r>
    </w:p>
    <w:p w14:paraId="354F0C48" w14:textId="77777777" w:rsidR="00C820B8" w:rsidRPr="0064652A" w:rsidRDefault="008D7FC6">
      <w:pPr>
        <w:ind w:firstLine="500"/>
        <w:rPr>
          <w:sz w:val="20"/>
          <w:szCs w:val="20"/>
        </w:rPr>
      </w:pPr>
      <w:r w:rsidRPr="0064652A">
        <w:rPr>
          <w:b/>
          <w:bCs/>
          <w:i/>
          <w:iCs/>
          <w:sz w:val="20"/>
          <w:szCs w:val="20"/>
        </w:rPr>
        <w:t xml:space="preserve">Accounting Standards Update 2016-13 </w:t>
      </w:r>
      <w:r w:rsidRPr="0064652A">
        <w:rPr>
          <w:i/>
          <w:iCs/>
          <w:sz w:val="20"/>
          <w:szCs w:val="20"/>
        </w:rPr>
        <w:t>“</w:t>
      </w:r>
      <w:r w:rsidRPr="0064652A">
        <w:rPr>
          <w:b/>
          <w:bCs/>
          <w:i/>
          <w:iCs/>
          <w:sz w:val="20"/>
          <w:szCs w:val="20"/>
        </w:rPr>
        <w:t xml:space="preserve">Financial Instruments </w:t>
      </w:r>
      <w:r w:rsidRPr="0064652A">
        <w:rPr>
          <w:i/>
          <w:iCs/>
          <w:sz w:val="20"/>
          <w:szCs w:val="20"/>
        </w:rPr>
        <w:t>–</w:t>
      </w:r>
      <w:r w:rsidRPr="0064652A">
        <w:rPr>
          <w:b/>
          <w:bCs/>
          <w:i/>
          <w:iCs/>
          <w:sz w:val="20"/>
          <w:szCs w:val="20"/>
        </w:rPr>
        <w:t xml:space="preserve"> Credit Losses</w:t>
      </w:r>
      <w:r w:rsidRPr="0064652A">
        <w:rPr>
          <w:i/>
          <w:iCs/>
          <w:sz w:val="20"/>
          <w:szCs w:val="20"/>
        </w:rPr>
        <w:t>”</w:t>
      </w:r>
      <w:r w:rsidRPr="0064652A">
        <w:rPr>
          <w:b/>
          <w:bCs/>
          <w:i/>
          <w:iCs/>
          <w:sz w:val="20"/>
          <w:szCs w:val="20"/>
        </w:rPr>
        <w:t xml:space="preserve"> (Issued June 2016)</w:t>
      </w:r>
    </w:p>
    <w:p w14:paraId="3496EEC3" w14:textId="77777777" w:rsidR="00C820B8" w:rsidRPr="0064652A" w:rsidRDefault="008D7FC6">
      <w:pPr>
        <w:rPr>
          <w:sz w:val="20"/>
          <w:szCs w:val="20"/>
        </w:rPr>
      </w:pPr>
      <w:r w:rsidRPr="0064652A">
        <w:rPr>
          <w:sz w:val="20"/>
          <w:szCs w:val="20"/>
        </w:rPr>
        <w:t> </w:t>
      </w:r>
    </w:p>
    <w:p w14:paraId="1D52890E" w14:textId="77777777" w:rsidR="00C820B8" w:rsidRPr="0064652A" w:rsidRDefault="008D7FC6">
      <w:pPr>
        <w:ind w:firstLine="500"/>
        <w:rPr>
          <w:sz w:val="20"/>
          <w:szCs w:val="20"/>
        </w:rPr>
      </w:pPr>
      <w:r w:rsidRPr="0064652A">
        <w:rPr>
          <w:sz w:val="20"/>
          <w:szCs w:val="20"/>
        </w:rPr>
        <w:t>In June 2016, the FASB issued ASU 2016-13 “Financial Instruments - Credit Losses” to introduce new guidance for the accounting for credit losses on instruments within its scope. ASU 2016-13 requires among other things, the measurement of all expected credit losses for financial assets held at the reporting date based on historical experience, current conditions, and reasonable supportable forecasts. Many of the loss estimation techniques applied today will still be permitted, although the inputs to those techniques will change to reflect the full amount of expected credit losses. In addition, ASU 2016-13 amends the accounting for credit losses on available-for-sale debt securities and purchased financial assets with credit deterioration. ASU 2016-13 is effective for fiscal years and interim periods beginning after December 15, 2022. The adoption of ASU 2016-13 had no material impacts on the Company's financial statements.</w:t>
      </w:r>
    </w:p>
    <w:p w14:paraId="0260AC3D" w14:textId="77777777" w:rsidR="00C820B8" w:rsidRPr="0064652A" w:rsidRDefault="008D7FC6">
      <w:pPr>
        <w:rPr>
          <w:sz w:val="20"/>
          <w:szCs w:val="20"/>
        </w:rPr>
      </w:pPr>
      <w:r w:rsidRPr="0064652A">
        <w:rPr>
          <w:sz w:val="20"/>
          <w:szCs w:val="20"/>
        </w:rPr>
        <w:t> </w:t>
      </w:r>
    </w:p>
    <w:p w14:paraId="51BC64F2" w14:textId="77777777" w:rsidR="00C820B8" w:rsidRPr="0064652A" w:rsidRDefault="008D7FC6">
      <w:pPr>
        <w:ind w:firstLine="560"/>
        <w:rPr>
          <w:sz w:val="20"/>
          <w:szCs w:val="20"/>
        </w:rPr>
      </w:pPr>
      <w:r w:rsidRPr="0064652A">
        <w:rPr>
          <w:b/>
          <w:bCs/>
          <w:i/>
          <w:iCs/>
          <w:sz w:val="20"/>
          <w:szCs w:val="20"/>
        </w:rPr>
        <w:t>Revenue recognition</w:t>
      </w:r>
      <w:r w:rsidRPr="0064652A">
        <w:rPr>
          <w:sz w:val="20"/>
          <w:szCs w:val="20"/>
        </w:rPr>
        <w:t xml:space="preserve">: Sales to customers and related cost of sales are primarily recognized at the point in time when control of goods transfers to the customer. Control is considered to be transferred when the customer has the ability to direct the use of and obtain substantially all of the remaining benefits of that good. Under the Direct Import Program, title passes in the country of origin </w:t>
      </w:r>
      <w:r w:rsidRPr="0064652A">
        <w:rPr>
          <w:sz w:val="20"/>
          <w:szCs w:val="20"/>
        </w:rPr>
        <w:lastRenderedPageBreak/>
        <w:t>when the goods are passed over the rail of the customer’s vessel. Under the Domestic Program, title passes primarily at the time of shipment. Estimates for future expected returns are based upon historical return rates and netted against revenues.</w:t>
      </w:r>
    </w:p>
    <w:p w14:paraId="43796804" w14:textId="77777777" w:rsidR="00C820B8" w:rsidRPr="0064652A" w:rsidRDefault="008D7FC6">
      <w:pPr>
        <w:rPr>
          <w:sz w:val="20"/>
          <w:szCs w:val="20"/>
        </w:rPr>
      </w:pPr>
      <w:r w:rsidRPr="0064652A">
        <w:rPr>
          <w:sz w:val="20"/>
          <w:szCs w:val="20"/>
        </w:rPr>
        <w:t> </w:t>
      </w:r>
    </w:p>
    <w:p w14:paraId="2398329A" w14:textId="77777777" w:rsidR="00C820B8" w:rsidRPr="0064652A" w:rsidRDefault="008D7FC6">
      <w:pPr>
        <w:jc w:val="center"/>
        <w:rPr>
          <w:sz w:val="20"/>
          <w:szCs w:val="20"/>
        </w:rPr>
      </w:pPr>
      <w:r w:rsidRPr="0064652A">
        <w:rPr>
          <w:sz w:val="20"/>
          <w:szCs w:val="20"/>
        </w:rPr>
        <w:t>7</w:t>
      </w:r>
    </w:p>
    <w:p w14:paraId="20DA0CEC"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682E7E71" w14:textId="77777777" w:rsidR="00C820B8" w:rsidRPr="0064652A" w:rsidRDefault="008D7FC6">
      <w:pPr>
        <w:rPr>
          <w:sz w:val="20"/>
          <w:szCs w:val="20"/>
        </w:rPr>
      </w:pPr>
      <w:r w:rsidRPr="0064652A">
        <w:rPr>
          <w:sz w:val="20"/>
          <w:szCs w:val="20"/>
        </w:rPr>
        <w:t> </w:t>
      </w:r>
    </w:p>
    <w:p w14:paraId="5AB5A48B" w14:textId="77777777" w:rsidR="00C820B8" w:rsidRPr="0064652A" w:rsidRDefault="008D7FC6">
      <w:pPr>
        <w:ind w:firstLine="560"/>
        <w:rPr>
          <w:sz w:val="20"/>
          <w:szCs w:val="20"/>
        </w:rPr>
      </w:pPr>
      <w:r w:rsidRPr="0064652A">
        <w:rPr>
          <w:sz w:val="20"/>
          <w:szCs w:val="20"/>
        </w:rPr>
        <w:t>Revenue is measured as the amount of consideration the Company expects to receive in exchange for transferring goods. Revenue is recorded net of customer discounts, promotional allowances, volume rebates and similar charges. When the Company offers the right to return product, historical experience is utilized to establish a liability for the estimate of expected returns. Sales and other tax amounts collected from customers for remittance to governmental authorities are excluded from revenue.</w:t>
      </w:r>
    </w:p>
    <w:p w14:paraId="05764D21" w14:textId="77777777" w:rsidR="00C820B8" w:rsidRPr="0064652A" w:rsidRDefault="008D7FC6">
      <w:pPr>
        <w:rPr>
          <w:sz w:val="20"/>
          <w:szCs w:val="20"/>
        </w:rPr>
      </w:pPr>
      <w:r w:rsidRPr="0064652A">
        <w:rPr>
          <w:sz w:val="20"/>
          <w:szCs w:val="20"/>
        </w:rPr>
        <w:t> </w:t>
      </w:r>
    </w:p>
    <w:p w14:paraId="26799C4B" w14:textId="77777777" w:rsidR="00C820B8" w:rsidRPr="0064652A" w:rsidRDefault="008D7FC6">
      <w:pPr>
        <w:ind w:firstLine="560"/>
        <w:rPr>
          <w:sz w:val="20"/>
          <w:szCs w:val="20"/>
        </w:rPr>
      </w:pPr>
      <w:r w:rsidRPr="0064652A">
        <w:rPr>
          <w:sz w:val="20"/>
          <w:szCs w:val="20"/>
        </w:rPr>
        <w:t>Management must make estimates of potential future product returns related to current period product revenue. Management analyzes historical returns, current economic trends and changes in customer demand for the Company’s products when evaluating the adequacy of the reserve for sales returns. Management judgments and estimates must be made and used in connection with establishing the sales return reserves in any accounting period. Additional reserves may be required if actual sales returns increase above the historical return rates. Conversely, the sales return reserve could be decreased if the actual return rates are less than the historical return rates, which were used to establish the reserve.</w:t>
      </w:r>
    </w:p>
    <w:p w14:paraId="226DB0A8" w14:textId="77777777" w:rsidR="00C820B8" w:rsidRPr="0064652A" w:rsidRDefault="008D7FC6">
      <w:pPr>
        <w:rPr>
          <w:sz w:val="20"/>
          <w:szCs w:val="20"/>
        </w:rPr>
      </w:pPr>
      <w:r w:rsidRPr="0064652A">
        <w:rPr>
          <w:sz w:val="20"/>
          <w:szCs w:val="20"/>
        </w:rPr>
        <w:t> </w:t>
      </w:r>
    </w:p>
    <w:p w14:paraId="651ED47A" w14:textId="77777777" w:rsidR="00C820B8" w:rsidRPr="0064652A" w:rsidRDefault="008D7FC6">
      <w:pPr>
        <w:ind w:firstLine="560"/>
        <w:rPr>
          <w:sz w:val="20"/>
          <w:szCs w:val="20"/>
        </w:rPr>
      </w:pPr>
      <w:r w:rsidRPr="0064652A">
        <w:rPr>
          <w:sz w:val="20"/>
          <w:szCs w:val="20"/>
        </w:rPr>
        <w:t>Sales allowances, marketing support programs, promotions and other volume-based incentives which are provided to retailers and distributors are accounted for on an accrual basis as a reduction to net revenues in the period in which the related sales are recognized in accordance with ASC topic 606, “Revenue from Contracts with Customers” (“ASC 606”).</w:t>
      </w:r>
    </w:p>
    <w:p w14:paraId="6ACA360B" w14:textId="77777777" w:rsidR="00C820B8" w:rsidRPr="0064652A" w:rsidRDefault="008D7FC6">
      <w:pPr>
        <w:rPr>
          <w:sz w:val="20"/>
          <w:szCs w:val="20"/>
        </w:rPr>
      </w:pPr>
      <w:r w:rsidRPr="0064652A">
        <w:rPr>
          <w:sz w:val="20"/>
          <w:szCs w:val="20"/>
        </w:rPr>
        <w:t> </w:t>
      </w:r>
    </w:p>
    <w:p w14:paraId="6A882926" w14:textId="77777777" w:rsidR="00C820B8" w:rsidRPr="0064652A" w:rsidRDefault="008D7FC6">
      <w:pPr>
        <w:ind w:firstLine="560"/>
        <w:rPr>
          <w:sz w:val="20"/>
          <w:szCs w:val="20"/>
        </w:rPr>
      </w:pPr>
      <w:r w:rsidRPr="0064652A">
        <w:rPr>
          <w:sz w:val="20"/>
          <w:szCs w:val="20"/>
        </w:rPr>
        <w:t>At the time of sale, the Company reduces recognized gross revenue by allowances to cover, in addition to estimated sales returns as required by ASC 606, (i) sales incentives offered to customers that meet the criteria for accrual and (ii) an estimated amount to recognize additional non-offered deductions it anticipates and can reasonably estimate will be taken by customers, which it does not expect to recover. Accruals for the estimated amount of future non-offered deductions are required to be made as contra-revenue items, because that percentage of shipped revenue fails to meet the collectability criteria within ASC 606.</w:t>
      </w:r>
    </w:p>
    <w:p w14:paraId="049F790A" w14:textId="77777777" w:rsidR="00C820B8" w:rsidRPr="0064652A" w:rsidRDefault="008D7FC6">
      <w:pPr>
        <w:rPr>
          <w:sz w:val="20"/>
          <w:szCs w:val="20"/>
        </w:rPr>
      </w:pPr>
      <w:r w:rsidRPr="0064652A">
        <w:rPr>
          <w:sz w:val="20"/>
          <w:szCs w:val="20"/>
        </w:rPr>
        <w:t> </w:t>
      </w:r>
    </w:p>
    <w:p w14:paraId="74F32D20" w14:textId="77777777" w:rsidR="00C820B8" w:rsidRPr="0064652A" w:rsidRDefault="008D7FC6">
      <w:pPr>
        <w:ind w:firstLine="560"/>
        <w:rPr>
          <w:sz w:val="20"/>
          <w:szCs w:val="20"/>
        </w:rPr>
      </w:pPr>
      <w:r w:rsidRPr="0064652A">
        <w:rPr>
          <w:sz w:val="20"/>
          <w:szCs w:val="20"/>
        </w:rPr>
        <w:t>If additional marketing support programs, promotions and other volume-based incentives are required to promote the Company’s products subsequent to the initial sale, then additional reserves may be required and are accrued for when such support is offered.</w:t>
      </w:r>
    </w:p>
    <w:p w14:paraId="3017232E" w14:textId="77777777" w:rsidR="00C820B8" w:rsidRPr="0064652A" w:rsidRDefault="008D7FC6">
      <w:pPr>
        <w:rPr>
          <w:sz w:val="20"/>
          <w:szCs w:val="20"/>
        </w:rPr>
      </w:pPr>
      <w:r w:rsidRPr="0064652A">
        <w:rPr>
          <w:sz w:val="20"/>
          <w:szCs w:val="20"/>
        </w:rPr>
        <w:t> </w:t>
      </w:r>
    </w:p>
    <w:p w14:paraId="02AD6D9D" w14:textId="77777777" w:rsidR="00C820B8" w:rsidRPr="0064652A" w:rsidRDefault="008D7FC6">
      <w:pPr>
        <w:ind w:firstLine="560"/>
        <w:rPr>
          <w:sz w:val="20"/>
          <w:szCs w:val="20"/>
        </w:rPr>
      </w:pPr>
      <w:r w:rsidRPr="0064652A">
        <w:rPr>
          <w:sz w:val="20"/>
          <w:szCs w:val="20"/>
        </w:rPr>
        <w:t>The Company offers limited warranties for its consumer electronics, comparable to those offered to consumers by the Company’s competitors in the United States. Such warranties typically consist of a one year period for microwaves and a 90 day period for audio products, under which the Company pays for labor and parts, or offers a new or similar unit in exchange for a non-performing unit.</w:t>
      </w:r>
    </w:p>
    <w:p w14:paraId="5252C19A" w14:textId="77777777" w:rsidR="00C820B8" w:rsidRPr="0064652A" w:rsidRDefault="008D7FC6">
      <w:pPr>
        <w:ind w:firstLine="560"/>
        <w:rPr>
          <w:sz w:val="20"/>
          <w:szCs w:val="20"/>
        </w:rPr>
      </w:pPr>
      <w:r w:rsidRPr="0064652A">
        <w:rPr>
          <w:sz w:val="20"/>
          <w:szCs w:val="20"/>
        </w:rPr>
        <w:t> </w:t>
      </w:r>
    </w:p>
    <w:p w14:paraId="4BDA192C" w14:textId="77777777" w:rsidR="00C820B8" w:rsidRPr="0064652A" w:rsidRDefault="008D7FC6">
      <w:pPr>
        <w:ind w:firstLine="560"/>
        <w:rPr>
          <w:sz w:val="20"/>
          <w:szCs w:val="20"/>
        </w:rPr>
      </w:pPr>
      <w:r w:rsidRPr="0064652A">
        <w:rPr>
          <w:b/>
          <w:bCs/>
          <w:i/>
          <w:iCs/>
          <w:sz w:val="20"/>
          <w:szCs w:val="20"/>
        </w:rPr>
        <w:t>Licensing</w:t>
      </w:r>
      <w:r w:rsidRPr="0064652A">
        <w:rPr>
          <w:sz w:val="20"/>
          <w:szCs w:val="20"/>
        </w:rPr>
        <w:t>:</w:t>
      </w:r>
      <w:r w:rsidRPr="0064652A">
        <w:rPr>
          <w:b/>
          <w:bCs/>
          <w:i/>
          <w:iCs/>
          <w:sz w:val="20"/>
          <w:szCs w:val="20"/>
        </w:rPr>
        <w:t xml:space="preserve"> </w:t>
      </w:r>
      <w:r w:rsidRPr="0064652A">
        <w:rPr>
          <w:sz w:val="20"/>
          <w:szCs w:val="20"/>
        </w:rPr>
        <w:t>In addition to the distribution of products, the Company grants licenses for the right to access the Company’s intellectual property, specifically the Company’s trademarks, for a stated term for the manufacture and/or sale of consumer electronics and other products under agreements which require payment of either (i) a non-refundable minimum guaranteed royalty or, (ii) the greater of (a) the actual royalties due (based on a contractual calculation, normally comprised of actual product sales by the licensee multiplied by a stated royalty rate, or “Sales Royalties”) or (b) a minimum guaranteed royalty amount. In the case of the foregoing clause (i), such amounts are recognized as revenue on a straight-line basis over the term of the license agreement. In the case of the foregoing clause (ii), Sales Royalties in excess of guaranteed minimums are accounted for as variable fees and are not recognized as revenue until the Company has ascertained that the licensee’s sales of products have exceeded the guaranteed minimum. In effect, the Company recognizes the greater of Sales Royalties earned to date or the straight-line amount of minimum guaranteed royalties to date. In the case where a royalty is paid to the Company in advance, the royalty payment is initially recorded as a liability and recognized as revenue as the royalties are deemed to be earned according to the principles outlined above.</w:t>
      </w:r>
    </w:p>
    <w:p w14:paraId="090490DE" w14:textId="77777777" w:rsidR="00C820B8" w:rsidRPr="0064652A" w:rsidRDefault="008D7FC6">
      <w:pPr>
        <w:rPr>
          <w:sz w:val="20"/>
          <w:szCs w:val="20"/>
        </w:rPr>
      </w:pPr>
      <w:r w:rsidRPr="0064652A">
        <w:rPr>
          <w:sz w:val="20"/>
          <w:szCs w:val="20"/>
        </w:rPr>
        <w:t> </w:t>
      </w:r>
    </w:p>
    <w:p w14:paraId="0F364CFF" w14:textId="77777777" w:rsidR="00C820B8" w:rsidRPr="0064652A" w:rsidRDefault="008D7FC6">
      <w:r w:rsidRPr="0064652A">
        <w:t> </w:t>
      </w:r>
    </w:p>
    <w:p w14:paraId="31349CE4" w14:textId="77777777" w:rsidR="00C820B8" w:rsidRPr="0064652A" w:rsidRDefault="008D7FC6">
      <w:pPr>
        <w:rPr>
          <w:sz w:val="20"/>
          <w:szCs w:val="20"/>
        </w:rPr>
      </w:pPr>
      <w:r w:rsidRPr="0064652A">
        <w:rPr>
          <w:b/>
          <w:bCs/>
          <w:sz w:val="20"/>
          <w:szCs w:val="20"/>
          <w:shd w:val="clear" w:color="auto" w:fill="FFFFFF"/>
        </w:rPr>
        <w:t xml:space="preserve">NOTE 2 </w:t>
      </w:r>
      <w:r w:rsidRPr="0064652A">
        <w:rPr>
          <w:sz w:val="20"/>
          <w:szCs w:val="20"/>
          <w:shd w:val="clear" w:color="auto" w:fill="FFFFFF"/>
        </w:rPr>
        <w:t>—</w:t>
      </w:r>
      <w:r w:rsidRPr="0064652A">
        <w:rPr>
          <w:b/>
          <w:bCs/>
          <w:sz w:val="20"/>
          <w:szCs w:val="20"/>
          <w:shd w:val="clear" w:color="auto" w:fill="FFFFFF"/>
        </w:rPr>
        <w:t xml:space="preserve"> EARNINGS PER SHARE</w:t>
      </w:r>
    </w:p>
    <w:p w14:paraId="4A73B0E4" w14:textId="77777777" w:rsidR="00C820B8" w:rsidRPr="0064652A" w:rsidRDefault="008D7FC6">
      <w:pPr>
        <w:rPr>
          <w:sz w:val="20"/>
          <w:szCs w:val="20"/>
        </w:rPr>
      </w:pPr>
      <w:r w:rsidRPr="0064652A">
        <w:rPr>
          <w:sz w:val="20"/>
          <w:szCs w:val="20"/>
        </w:rPr>
        <w:t> </w:t>
      </w:r>
    </w:p>
    <w:p w14:paraId="53560167" w14:textId="77777777" w:rsidR="00C820B8" w:rsidRPr="0064652A" w:rsidRDefault="008D7FC6">
      <w:pPr>
        <w:ind w:firstLine="500"/>
        <w:rPr>
          <w:sz w:val="20"/>
          <w:szCs w:val="20"/>
        </w:rPr>
      </w:pPr>
      <w:r w:rsidRPr="0064652A">
        <w:rPr>
          <w:sz w:val="20"/>
          <w:szCs w:val="20"/>
        </w:rPr>
        <w:t>The following table sets forth the computation of basic and diluted earnings per share (in thousands, except per share amounts). Weighted average shares includes the impact of shares held in treasury.</w:t>
      </w:r>
    </w:p>
    <w:p w14:paraId="2580BFCF" w14:textId="77777777" w:rsidR="00C820B8" w:rsidRPr="0064652A" w:rsidRDefault="008D7FC6">
      <w:pPr>
        <w:ind w:firstLine="500"/>
        <w:rPr>
          <w:sz w:val="20"/>
          <w:szCs w:val="20"/>
        </w:rPr>
      </w:pPr>
      <w:r w:rsidRPr="0064652A">
        <w:rPr>
          <w:sz w:val="20"/>
          <w:szCs w:val="20"/>
        </w:rPr>
        <w:t> </w:t>
      </w:r>
    </w:p>
    <w:tbl>
      <w:tblPr>
        <w:tblStyle w:val="finTable"/>
        <w:tblW w:w="4750" w:type="pct"/>
        <w:tblInd w:w="5" w:type="dxa"/>
        <w:tblCellMar>
          <w:left w:w="0" w:type="dxa"/>
          <w:right w:w="0" w:type="dxa"/>
        </w:tblCellMar>
        <w:tblLook w:val="05E0" w:firstRow="1" w:lastRow="1" w:firstColumn="1" w:lastColumn="1" w:noHBand="0" w:noVBand="1"/>
      </w:tblPr>
      <w:tblGrid>
        <w:gridCol w:w="4922"/>
        <w:gridCol w:w="100"/>
        <w:gridCol w:w="110"/>
        <w:gridCol w:w="1023"/>
        <w:gridCol w:w="100"/>
        <w:gridCol w:w="100"/>
        <w:gridCol w:w="110"/>
        <w:gridCol w:w="1023"/>
        <w:gridCol w:w="100"/>
        <w:gridCol w:w="101"/>
        <w:gridCol w:w="110"/>
        <w:gridCol w:w="1024"/>
        <w:gridCol w:w="101"/>
        <w:gridCol w:w="101"/>
        <w:gridCol w:w="110"/>
        <w:gridCol w:w="1024"/>
        <w:gridCol w:w="101"/>
      </w:tblGrid>
      <w:tr w:rsidR="00C820B8" w:rsidRPr="0064652A" w14:paraId="558BF45C" w14:textId="77777777">
        <w:tc>
          <w:tcPr>
            <w:tcW w:w="0" w:type="auto"/>
            <w:tcMar>
              <w:top w:w="5" w:type="dxa"/>
              <w:left w:w="5" w:type="dxa"/>
              <w:bottom w:w="5" w:type="dxa"/>
              <w:right w:w="5" w:type="dxa"/>
            </w:tcMar>
            <w:vAlign w:val="bottom"/>
            <w:hideMark/>
          </w:tcPr>
          <w:p w14:paraId="574B378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B9EDD68" w14:textId="77777777" w:rsidR="00C820B8" w:rsidRPr="0064652A" w:rsidRDefault="008D7FC6">
            <w:pPr>
              <w:rPr>
                <w:color w:val="000000"/>
                <w:sz w:val="20"/>
                <w:szCs w:val="20"/>
              </w:rPr>
            </w:pPr>
            <w:r w:rsidRPr="0064652A">
              <w:rPr>
                <w:color w:val="000000"/>
                <w:sz w:val="20"/>
                <w:szCs w:val="20"/>
              </w:rPr>
              <w:t> </w:t>
            </w:r>
          </w:p>
        </w:tc>
        <w:tc>
          <w:tcPr>
            <w:tcW w:w="0" w:type="auto"/>
            <w:gridSpan w:val="6"/>
            <w:tcMar>
              <w:top w:w="5" w:type="dxa"/>
              <w:left w:w="5" w:type="dxa"/>
              <w:bottom w:w="5" w:type="dxa"/>
              <w:right w:w="5" w:type="dxa"/>
            </w:tcMar>
            <w:vAlign w:val="bottom"/>
            <w:hideMark/>
          </w:tcPr>
          <w:p w14:paraId="18A0E009" w14:textId="77777777" w:rsidR="00C820B8" w:rsidRPr="0064652A" w:rsidRDefault="008D7FC6">
            <w:pPr>
              <w:jc w:val="center"/>
              <w:rPr>
                <w:color w:val="000000"/>
                <w:sz w:val="20"/>
                <w:szCs w:val="20"/>
              </w:rPr>
            </w:pPr>
            <w:r w:rsidRPr="0064652A">
              <w:rPr>
                <w:b/>
                <w:bCs/>
                <w:color w:val="000000"/>
                <w:sz w:val="20"/>
                <w:szCs w:val="20"/>
              </w:rPr>
              <w:t>Three Months Ended December 31,</w:t>
            </w:r>
          </w:p>
        </w:tc>
        <w:tc>
          <w:tcPr>
            <w:tcW w:w="0" w:type="auto"/>
            <w:tcMar>
              <w:top w:w="5" w:type="dxa"/>
              <w:left w:w="5" w:type="dxa"/>
              <w:bottom w:w="5" w:type="dxa"/>
              <w:right w:w="5" w:type="dxa"/>
            </w:tcMar>
            <w:vAlign w:val="bottom"/>
            <w:hideMark/>
          </w:tcPr>
          <w:p w14:paraId="6EBF797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2A45713" w14:textId="77777777" w:rsidR="00C820B8" w:rsidRPr="0064652A" w:rsidRDefault="008D7FC6">
            <w:pPr>
              <w:rPr>
                <w:color w:val="000000"/>
                <w:sz w:val="20"/>
                <w:szCs w:val="20"/>
              </w:rPr>
            </w:pPr>
            <w:r w:rsidRPr="0064652A">
              <w:rPr>
                <w:color w:val="000000"/>
                <w:sz w:val="20"/>
                <w:szCs w:val="20"/>
              </w:rPr>
              <w:t> </w:t>
            </w:r>
          </w:p>
        </w:tc>
        <w:tc>
          <w:tcPr>
            <w:tcW w:w="0" w:type="auto"/>
            <w:gridSpan w:val="6"/>
            <w:tcMar>
              <w:top w:w="5" w:type="dxa"/>
              <w:left w:w="5" w:type="dxa"/>
              <w:bottom w:w="5" w:type="dxa"/>
              <w:right w:w="5" w:type="dxa"/>
            </w:tcMar>
            <w:vAlign w:val="bottom"/>
            <w:hideMark/>
          </w:tcPr>
          <w:p w14:paraId="35AD4341" w14:textId="77777777" w:rsidR="00C820B8" w:rsidRPr="0064652A" w:rsidRDefault="008D7FC6">
            <w:pPr>
              <w:jc w:val="center"/>
              <w:rPr>
                <w:color w:val="000000"/>
                <w:sz w:val="20"/>
                <w:szCs w:val="20"/>
              </w:rPr>
            </w:pPr>
            <w:r w:rsidRPr="0064652A">
              <w:rPr>
                <w:b/>
                <w:bCs/>
                <w:color w:val="000000"/>
                <w:sz w:val="20"/>
                <w:szCs w:val="20"/>
              </w:rPr>
              <w:t>Nine Months Ended December 31,</w:t>
            </w:r>
          </w:p>
        </w:tc>
        <w:tc>
          <w:tcPr>
            <w:tcW w:w="0" w:type="auto"/>
            <w:tcMar>
              <w:top w:w="5" w:type="dxa"/>
              <w:left w:w="5" w:type="dxa"/>
              <w:bottom w:w="5" w:type="dxa"/>
              <w:right w:w="5" w:type="dxa"/>
            </w:tcMar>
            <w:vAlign w:val="bottom"/>
            <w:hideMark/>
          </w:tcPr>
          <w:p w14:paraId="52F9D5CD" w14:textId="77777777" w:rsidR="00C820B8" w:rsidRPr="0064652A" w:rsidRDefault="008D7FC6">
            <w:pPr>
              <w:rPr>
                <w:color w:val="000000"/>
                <w:sz w:val="20"/>
                <w:szCs w:val="20"/>
              </w:rPr>
            </w:pPr>
            <w:r w:rsidRPr="0064652A">
              <w:rPr>
                <w:color w:val="000000"/>
                <w:sz w:val="20"/>
                <w:szCs w:val="20"/>
              </w:rPr>
              <w:t> </w:t>
            </w:r>
          </w:p>
        </w:tc>
      </w:tr>
      <w:tr w:rsidR="00C820B8" w:rsidRPr="0064652A" w14:paraId="62690ED7" w14:textId="77777777">
        <w:tc>
          <w:tcPr>
            <w:tcW w:w="0" w:type="auto"/>
            <w:tcMar>
              <w:top w:w="5" w:type="dxa"/>
              <w:left w:w="5" w:type="dxa"/>
              <w:bottom w:w="5" w:type="dxa"/>
              <w:right w:w="5" w:type="dxa"/>
            </w:tcMar>
            <w:vAlign w:val="bottom"/>
            <w:hideMark/>
          </w:tcPr>
          <w:p w14:paraId="752A53E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3E27127"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11BDF13" w14:textId="77777777" w:rsidR="00C820B8" w:rsidRPr="0064652A" w:rsidRDefault="008D7FC6">
            <w:pPr>
              <w:jc w:val="center"/>
              <w:rPr>
                <w:color w:val="000000"/>
                <w:sz w:val="20"/>
                <w:szCs w:val="20"/>
              </w:rPr>
            </w:pPr>
            <w:r w:rsidRPr="0064652A">
              <w:rPr>
                <w:b/>
                <w:bCs/>
                <w:color w:val="000000"/>
                <w:sz w:val="20"/>
                <w:szCs w:val="20"/>
              </w:rPr>
              <w:t>2023</w:t>
            </w:r>
          </w:p>
        </w:tc>
        <w:tc>
          <w:tcPr>
            <w:tcW w:w="0" w:type="auto"/>
            <w:tcMar>
              <w:top w:w="5" w:type="dxa"/>
              <w:left w:w="5" w:type="dxa"/>
              <w:bottom w:w="20" w:type="dxa"/>
              <w:right w:w="5" w:type="dxa"/>
            </w:tcMar>
            <w:vAlign w:val="bottom"/>
            <w:hideMark/>
          </w:tcPr>
          <w:p w14:paraId="3549CA1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ADBE884"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1740751" w14:textId="77777777" w:rsidR="00C820B8" w:rsidRPr="0064652A" w:rsidRDefault="008D7FC6">
            <w:pPr>
              <w:jc w:val="center"/>
              <w:rPr>
                <w:color w:val="000000"/>
                <w:sz w:val="20"/>
                <w:szCs w:val="20"/>
              </w:rPr>
            </w:pPr>
            <w:r w:rsidRPr="0064652A">
              <w:rPr>
                <w:b/>
                <w:bCs/>
                <w:color w:val="000000"/>
                <w:sz w:val="20"/>
                <w:szCs w:val="20"/>
              </w:rPr>
              <w:t>2022</w:t>
            </w:r>
          </w:p>
        </w:tc>
        <w:tc>
          <w:tcPr>
            <w:tcW w:w="0" w:type="auto"/>
            <w:tcMar>
              <w:top w:w="5" w:type="dxa"/>
              <w:left w:w="5" w:type="dxa"/>
              <w:bottom w:w="20" w:type="dxa"/>
              <w:right w:w="5" w:type="dxa"/>
            </w:tcMar>
            <w:vAlign w:val="bottom"/>
            <w:hideMark/>
          </w:tcPr>
          <w:p w14:paraId="2B496F8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B48D50E"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4223E58" w14:textId="77777777" w:rsidR="00C820B8" w:rsidRPr="0064652A" w:rsidRDefault="008D7FC6">
            <w:pPr>
              <w:jc w:val="center"/>
              <w:rPr>
                <w:color w:val="000000"/>
                <w:sz w:val="20"/>
                <w:szCs w:val="20"/>
              </w:rPr>
            </w:pPr>
            <w:r w:rsidRPr="0064652A">
              <w:rPr>
                <w:b/>
                <w:bCs/>
                <w:color w:val="000000"/>
                <w:sz w:val="20"/>
                <w:szCs w:val="20"/>
              </w:rPr>
              <w:t>2023</w:t>
            </w:r>
          </w:p>
        </w:tc>
        <w:tc>
          <w:tcPr>
            <w:tcW w:w="0" w:type="auto"/>
            <w:tcMar>
              <w:top w:w="5" w:type="dxa"/>
              <w:left w:w="5" w:type="dxa"/>
              <w:bottom w:w="20" w:type="dxa"/>
              <w:right w:w="5" w:type="dxa"/>
            </w:tcMar>
            <w:vAlign w:val="bottom"/>
            <w:hideMark/>
          </w:tcPr>
          <w:p w14:paraId="60BEA20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C5A4A99"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EEC8C92" w14:textId="77777777" w:rsidR="00C820B8" w:rsidRPr="0064652A" w:rsidRDefault="008D7FC6">
            <w:pPr>
              <w:jc w:val="center"/>
              <w:rPr>
                <w:color w:val="000000"/>
                <w:sz w:val="20"/>
                <w:szCs w:val="20"/>
              </w:rPr>
            </w:pPr>
            <w:r w:rsidRPr="0064652A">
              <w:rPr>
                <w:b/>
                <w:bCs/>
                <w:color w:val="000000"/>
                <w:sz w:val="20"/>
                <w:szCs w:val="20"/>
              </w:rPr>
              <w:t>2022</w:t>
            </w:r>
          </w:p>
        </w:tc>
        <w:tc>
          <w:tcPr>
            <w:tcW w:w="0" w:type="auto"/>
            <w:tcMar>
              <w:top w:w="5" w:type="dxa"/>
              <w:left w:w="5" w:type="dxa"/>
              <w:bottom w:w="20" w:type="dxa"/>
              <w:right w:w="5" w:type="dxa"/>
            </w:tcMar>
            <w:vAlign w:val="bottom"/>
            <w:hideMark/>
          </w:tcPr>
          <w:p w14:paraId="53D9B7B2" w14:textId="77777777" w:rsidR="00C820B8" w:rsidRPr="0064652A" w:rsidRDefault="008D7FC6">
            <w:pPr>
              <w:rPr>
                <w:color w:val="000000"/>
                <w:sz w:val="20"/>
                <w:szCs w:val="20"/>
              </w:rPr>
            </w:pPr>
            <w:r w:rsidRPr="0064652A">
              <w:rPr>
                <w:color w:val="000000"/>
                <w:sz w:val="20"/>
                <w:szCs w:val="20"/>
              </w:rPr>
              <w:t> </w:t>
            </w:r>
          </w:p>
        </w:tc>
      </w:tr>
      <w:tr w:rsidR="00C820B8" w:rsidRPr="0064652A" w14:paraId="5A48D4EA" w14:textId="77777777">
        <w:tc>
          <w:tcPr>
            <w:tcW w:w="0" w:type="auto"/>
            <w:tcMar>
              <w:top w:w="5" w:type="dxa"/>
              <w:left w:w="5" w:type="dxa"/>
              <w:bottom w:w="5" w:type="dxa"/>
              <w:right w:w="5" w:type="dxa"/>
            </w:tcMar>
            <w:vAlign w:val="bottom"/>
            <w:hideMark/>
          </w:tcPr>
          <w:p w14:paraId="736B2C8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19798B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FC9CF4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C220FA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1BEE48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352536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8577FD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FD170D7"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0E2D86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9958BC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920951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204122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13965F7"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209A1F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697DE4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B37C15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5019F4A" w14:textId="77777777" w:rsidR="00C820B8" w:rsidRPr="0064652A" w:rsidRDefault="008D7FC6">
            <w:pPr>
              <w:rPr>
                <w:color w:val="000000"/>
                <w:sz w:val="20"/>
                <w:szCs w:val="20"/>
              </w:rPr>
            </w:pPr>
            <w:r w:rsidRPr="0064652A">
              <w:rPr>
                <w:color w:val="000000"/>
                <w:sz w:val="20"/>
                <w:szCs w:val="20"/>
              </w:rPr>
              <w:t> </w:t>
            </w:r>
          </w:p>
        </w:tc>
      </w:tr>
      <w:tr w:rsidR="00C820B8" w:rsidRPr="0064652A" w14:paraId="200B4DEC" w14:textId="77777777">
        <w:tc>
          <w:tcPr>
            <w:tcW w:w="2400" w:type="pct"/>
            <w:tcMar>
              <w:top w:w="5" w:type="dxa"/>
              <w:left w:w="5" w:type="dxa"/>
              <w:bottom w:w="5" w:type="dxa"/>
              <w:right w:w="5" w:type="dxa"/>
            </w:tcMar>
            <w:vAlign w:val="bottom"/>
            <w:hideMark/>
          </w:tcPr>
          <w:p w14:paraId="371CF8BD" w14:textId="77777777" w:rsidR="00C820B8" w:rsidRPr="0064652A" w:rsidRDefault="008D7FC6">
            <w:pPr>
              <w:rPr>
                <w:color w:val="000000"/>
                <w:sz w:val="20"/>
                <w:szCs w:val="20"/>
              </w:rPr>
            </w:pPr>
            <w:r w:rsidRPr="0064652A">
              <w:rPr>
                <w:b/>
                <w:bCs/>
                <w:color w:val="000000"/>
                <w:sz w:val="20"/>
                <w:szCs w:val="20"/>
              </w:rPr>
              <w:t>Numerator:</w:t>
            </w:r>
          </w:p>
        </w:tc>
        <w:tc>
          <w:tcPr>
            <w:tcW w:w="0" w:type="auto"/>
            <w:tcMar>
              <w:top w:w="5" w:type="dxa"/>
              <w:left w:w="5" w:type="dxa"/>
              <w:bottom w:w="5" w:type="dxa"/>
              <w:right w:w="5" w:type="dxa"/>
            </w:tcMar>
            <w:vAlign w:val="bottom"/>
            <w:hideMark/>
          </w:tcPr>
          <w:p w14:paraId="6D7F3B6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517E3D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08BC8A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D9E8970"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560B597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C73100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53ABD6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981D31E"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748CFB8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F9ACE9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0F3B78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0D516AE"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79D3DA1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F63809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74A37C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54B2D08" w14:textId="77777777" w:rsidR="00C820B8" w:rsidRPr="0064652A" w:rsidRDefault="008D7FC6">
            <w:pPr>
              <w:rPr>
                <w:color w:val="000000"/>
                <w:sz w:val="20"/>
                <w:szCs w:val="20"/>
              </w:rPr>
            </w:pPr>
            <w:r w:rsidRPr="0064652A">
              <w:rPr>
                <w:b/>
                <w:bCs/>
                <w:color w:val="000000"/>
                <w:sz w:val="20"/>
                <w:szCs w:val="20"/>
              </w:rPr>
              <w:t> </w:t>
            </w:r>
          </w:p>
        </w:tc>
      </w:tr>
      <w:tr w:rsidR="00C820B8" w:rsidRPr="0064652A" w14:paraId="741CA93D" w14:textId="77777777">
        <w:tc>
          <w:tcPr>
            <w:tcW w:w="0" w:type="auto"/>
            <w:tcMar>
              <w:top w:w="5" w:type="dxa"/>
              <w:left w:w="5" w:type="dxa"/>
              <w:bottom w:w="5" w:type="dxa"/>
              <w:right w:w="5" w:type="dxa"/>
            </w:tcMar>
            <w:vAlign w:val="bottom"/>
            <w:hideMark/>
          </w:tcPr>
          <w:p w14:paraId="6CB90B2F" w14:textId="77777777" w:rsidR="00C820B8" w:rsidRPr="0064652A" w:rsidRDefault="008D7FC6">
            <w:pPr>
              <w:rPr>
                <w:color w:val="000000"/>
                <w:sz w:val="20"/>
                <w:szCs w:val="20"/>
              </w:rPr>
            </w:pPr>
            <w:r w:rsidRPr="0064652A">
              <w:rPr>
                <w:color w:val="000000"/>
                <w:sz w:val="20"/>
                <w:szCs w:val="20"/>
              </w:rPr>
              <w:t>Net income (loss)</w:t>
            </w:r>
          </w:p>
        </w:tc>
        <w:tc>
          <w:tcPr>
            <w:tcW w:w="50" w:type="pct"/>
            <w:tcMar>
              <w:top w:w="5" w:type="dxa"/>
              <w:left w:w="5" w:type="dxa"/>
              <w:bottom w:w="5" w:type="dxa"/>
              <w:right w:w="5" w:type="dxa"/>
            </w:tcMar>
            <w:vAlign w:val="bottom"/>
            <w:hideMark/>
          </w:tcPr>
          <w:p w14:paraId="11EEE99C"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584CFEE" w14:textId="77777777" w:rsidR="00C820B8" w:rsidRPr="0064652A" w:rsidRDefault="008D7FC6">
            <w:pPr>
              <w:rPr>
                <w:color w:val="000000"/>
                <w:sz w:val="20"/>
                <w:szCs w:val="20"/>
              </w:rPr>
            </w:pPr>
            <w:r w:rsidRPr="0064652A">
              <w:rPr>
                <w:color w:val="000000"/>
                <w:sz w:val="20"/>
                <w:szCs w:val="20"/>
              </w:rPr>
              <w:t>$</w:t>
            </w:r>
          </w:p>
        </w:tc>
        <w:tc>
          <w:tcPr>
            <w:tcW w:w="500" w:type="pct"/>
            <w:tcBorders>
              <w:bottom w:val="double" w:sz="6" w:space="0" w:color="000000"/>
            </w:tcBorders>
            <w:tcMar>
              <w:top w:w="5" w:type="dxa"/>
              <w:left w:w="5" w:type="dxa"/>
              <w:bottom w:w="22" w:type="dxa"/>
              <w:right w:w="5" w:type="dxa"/>
            </w:tcMar>
            <w:vAlign w:val="bottom"/>
            <w:hideMark/>
          </w:tcPr>
          <w:p w14:paraId="2329912A" w14:textId="77777777" w:rsidR="00C820B8" w:rsidRPr="0064652A" w:rsidRDefault="008D7FC6">
            <w:pPr>
              <w:jc w:val="right"/>
              <w:rPr>
                <w:color w:val="000000"/>
                <w:sz w:val="20"/>
                <w:szCs w:val="20"/>
              </w:rPr>
            </w:pPr>
            <w:r w:rsidRPr="0064652A">
              <w:rPr>
                <w:color w:val="000000"/>
                <w:sz w:val="20"/>
                <w:szCs w:val="20"/>
              </w:rPr>
              <w:t>(421</w:t>
            </w:r>
          </w:p>
        </w:tc>
        <w:tc>
          <w:tcPr>
            <w:tcW w:w="50" w:type="pct"/>
            <w:noWrap/>
            <w:tcMar>
              <w:top w:w="5" w:type="dxa"/>
              <w:left w:w="5" w:type="dxa"/>
              <w:bottom w:w="50" w:type="dxa"/>
              <w:right w:w="5" w:type="dxa"/>
            </w:tcMar>
            <w:vAlign w:val="bottom"/>
            <w:hideMark/>
          </w:tcPr>
          <w:p w14:paraId="0CB2B87A"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3F5BC6FC"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EED80E5" w14:textId="77777777" w:rsidR="00C820B8" w:rsidRPr="0064652A" w:rsidRDefault="008D7FC6">
            <w:pPr>
              <w:rPr>
                <w:color w:val="000000"/>
                <w:sz w:val="20"/>
                <w:szCs w:val="20"/>
              </w:rPr>
            </w:pPr>
            <w:r w:rsidRPr="0064652A">
              <w:rPr>
                <w:color w:val="000000"/>
                <w:sz w:val="20"/>
                <w:szCs w:val="20"/>
              </w:rPr>
              <w:t>$</w:t>
            </w:r>
          </w:p>
        </w:tc>
        <w:tc>
          <w:tcPr>
            <w:tcW w:w="500" w:type="pct"/>
            <w:tcBorders>
              <w:bottom w:val="double" w:sz="6" w:space="0" w:color="000000"/>
            </w:tcBorders>
            <w:tcMar>
              <w:top w:w="5" w:type="dxa"/>
              <w:left w:w="5" w:type="dxa"/>
              <w:bottom w:w="22" w:type="dxa"/>
              <w:right w:w="5" w:type="dxa"/>
            </w:tcMar>
            <w:vAlign w:val="bottom"/>
            <w:hideMark/>
          </w:tcPr>
          <w:p w14:paraId="3876B8BE" w14:textId="77777777" w:rsidR="00C820B8" w:rsidRPr="0064652A" w:rsidRDefault="008D7FC6">
            <w:pPr>
              <w:jc w:val="right"/>
              <w:rPr>
                <w:color w:val="000000"/>
                <w:sz w:val="20"/>
                <w:szCs w:val="20"/>
              </w:rPr>
            </w:pPr>
            <w:r w:rsidRPr="0064652A">
              <w:rPr>
                <w:color w:val="000000"/>
                <w:sz w:val="20"/>
                <w:szCs w:val="20"/>
              </w:rPr>
              <w:t>(241</w:t>
            </w:r>
          </w:p>
        </w:tc>
        <w:tc>
          <w:tcPr>
            <w:tcW w:w="50" w:type="pct"/>
            <w:noWrap/>
            <w:tcMar>
              <w:top w:w="5" w:type="dxa"/>
              <w:left w:w="5" w:type="dxa"/>
              <w:bottom w:w="50" w:type="dxa"/>
              <w:right w:w="5" w:type="dxa"/>
            </w:tcMar>
            <w:vAlign w:val="bottom"/>
            <w:hideMark/>
          </w:tcPr>
          <w:p w14:paraId="3D9A2BE9"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5E937025"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94227DD" w14:textId="77777777" w:rsidR="00C820B8" w:rsidRPr="0064652A" w:rsidRDefault="008D7FC6">
            <w:pPr>
              <w:rPr>
                <w:color w:val="000000"/>
                <w:sz w:val="20"/>
                <w:szCs w:val="20"/>
              </w:rPr>
            </w:pPr>
            <w:r w:rsidRPr="0064652A">
              <w:rPr>
                <w:color w:val="000000"/>
                <w:sz w:val="20"/>
                <w:szCs w:val="20"/>
              </w:rPr>
              <w:t>$</w:t>
            </w:r>
          </w:p>
        </w:tc>
        <w:tc>
          <w:tcPr>
            <w:tcW w:w="500" w:type="pct"/>
            <w:tcBorders>
              <w:bottom w:val="double" w:sz="6" w:space="0" w:color="000000"/>
            </w:tcBorders>
            <w:tcMar>
              <w:top w:w="5" w:type="dxa"/>
              <w:left w:w="5" w:type="dxa"/>
              <w:bottom w:w="22" w:type="dxa"/>
              <w:right w:w="5" w:type="dxa"/>
            </w:tcMar>
            <w:vAlign w:val="bottom"/>
            <w:hideMark/>
          </w:tcPr>
          <w:p w14:paraId="5A001CC1" w14:textId="77777777" w:rsidR="00C820B8" w:rsidRPr="0064652A" w:rsidRDefault="008D7FC6">
            <w:pPr>
              <w:jc w:val="right"/>
              <w:rPr>
                <w:color w:val="000000"/>
                <w:sz w:val="20"/>
                <w:szCs w:val="20"/>
              </w:rPr>
            </w:pPr>
            <w:r w:rsidRPr="0064652A">
              <w:rPr>
                <w:color w:val="000000"/>
                <w:sz w:val="20"/>
                <w:szCs w:val="20"/>
              </w:rPr>
              <w:t>1,649</w:t>
            </w:r>
          </w:p>
        </w:tc>
        <w:tc>
          <w:tcPr>
            <w:tcW w:w="50" w:type="pct"/>
            <w:noWrap/>
            <w:tcMar>
              <w:top w:w="5" w:type="dxa"/>
              <w:left w:w="5" w:type="dxa"/>
              <w:bottom w:w="50" w:type="dxa"/>
              <w:right w:w="5" w:type="dxa"/>
            </w:tcMar>
            <w:vAlign w:val="bottom"/>
            <w:hideMark/>
          </w:tcPr>
          <w:p w14:paraId="515BFF4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15D984B"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EA849FE" w14:textId="77777777" w:rsidR="00C820B8" w:rsidRPr="0064652A" w:rsidRDefault="008D7FC6">
            <w:pPr>
              <w:rPr>
                <w:color w:val="000000"/>
                <w:sz w:val="20"/>
                <w:szCs w:val="20"/>
              </w:rPr>
            </w:pPr>
            <w:r w:rsidRPr="0064652A">
              <w:rPr>
                <w:color w:val="000000"/>
                <w:sz w:val="20"/>
                <w:szCs w:val="20"/>
              </w:rPr>
              <w:t>$</w:t>
            </w:r>
          </w:p>
        </w:tc>
        <w:tc>
          <w:tcPr>
            <w:tcW w:w="500" w:type="pct"/>
            <w:tcBorders>
              <w:bottom w:val="double" w:sz="6" w:space="0" w:color="000000"/>
            </w:tcBorders>
            <w:tcMar>
              <w:top w:w="5" w:type="dxa"/>
              <w:left w:w="5" w:type="dxa"/>
              <w:bottom w:w="22" w:type="dxa"/>
              <w:right w:w="5" w:type="dxa"/>
            </w:tcMar>
            <w:vAlign w:val="bottom"/>
            <w:hideMark/>
          </w:tcPr>
          <w:p w14:paraId="692B5975" w14:textId="77777777" w:rsidR="00C820B8" w:rsidRPr="0064652A" w:rsidRDefault="008D7FC6">
            <w:pPr>
              <w:jc w:val="right"/>
              <w:rPr>
                <w:color w:val="000000"/>
                <w:sz w:val="20"/>
                <w:szCs w:val="20"/>
              </w:rPr>
            </w:pPr>
            <w:r w:rsidRPr="0064652A">
              <w:rPr>
                <w:color w:val="000000"/>
                <w:sz w:val="20"/>
                <w:szCs w:val="20"/>
              </w:rPr>
              <w:t>(1,471</w:t>
            </w:r>
          </w:p>
        </w:tc>
        <w:tc>
          <w:tcPr>
            <w:tcW w:w="50" w:type="pct"/>
            <w:noWrap/>
            <w:tcMar>
              <w:top w:w="5" w:type="dxa"/>
              <w:left w:w="5" w:type="dxa"/>
              <w:bottom w:w="50" w:type="dxa"/>
              <w:right w:w="5" w:type="dxa"/>
            </w:tcMar>
            <w:vAlign w:val="bottom"/>
            <w:hideMark/>
          </w:tcPr>
          <w:p w14:paraId="3F13C295" w14:textId="77777777" w:rsidR="00C820B8" w:rsidRPr="0064652A" w:rsidRDefault="008D7FC6">
            <w:pPr>
              <w:rPr>
                <w:color w:val="000000"/>
                <w:sz w:val="20"/>
                <w:szCs w:val="20"/>
              </w:rPr>
            </w:pPr>
            <w:r w:rsidRPr="0064652A">
              <w:rPr>
                <w:color w:val="000000"/>
                <w:sz w:val="20"/>
                <w:szCs w:val="20"/>
              </w:rPr>
              <w:t>)</w:t>
            </w:r>
          </w:p>
        </w:tc>
      </w:tr>
      <w:tr w:rsidR="00C820B8" w:rsidRPr="0064652A" w14:paraId="461CC7C7" w14:textId="77777777">
        <w:tc>
          <w:tcPr>
            <w:tcW w:w="0" w:type="auto"/>
            <w:tcMar>
              <w:top w:w="5" w:type="dxa"/>
              <w:left w:w="5" w:type="dxa"/>
              <w:bottom w:w="5" w:type="dxa"/>
              <w:right w:w="5" w:type="dxa"/>
            </w:tcMar>
            <w:vAlign w:val="bottom"/>
            <w:hideMark/>
          </w:tcPr>
          <w:p w14:paraId="0A958492" w14:textId="77777777" w:rsidR="00C820B8" w:rsidRPr="0064652A" w:rsidRDefault="008D7FC6">
            <w:pPr>
              <w:rPr>
                <w:color w:val="000000"/>
                <w:sz w:val="20"/>
                <w:szCs w:val="20"/>
              </w:rPr>
            </w:pPr>
            <w:r w:rsidRPr="0064652A">
              <w:rPr>
                <w:b/>
                <w:bCs/>
                <w:color w:val="000000"/>
                <w:sz w:val="20"/>
                <w:szCs w:val="20"/>
              </w:rPr>
              <w:t>Denominator:</w:t>
            </w:r>
          </w:p>
        </w:tc>
        <w:tc>
          <w:tcPr>
            <w:tcW w:w="0" w:type="auto"/>
            <w:tcMar>
              <w:top w:w="5" w:type="dxa"/>
              <w:left w:w="5" w:type="dxa"/>
              <w:bottom w:w="5" w:type="dxa"/>
              <w:right w:w="5" w:type="dxa"/>
            </w:tcMar>
            <w:vAlign w:val="bottom"/>
            <w:hideMark/>
          </w:tcPr>
          <w:p w14:paraId="250B8ED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77276C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D42EF5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BE45736"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61F2897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0903B5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841AA1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A27D9C5"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65DA667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699752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82FA95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78132F8"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628D3A4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F02462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54A507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EFE8ABA" w14:textId="77777777" w:rsidR="00C820B8" w:rsidRPr="0064652A" w:rsidRDefault="008D7FC6">
            <w:pPr>
              <w:rPr>
                <w:color w:val="000000"/>
                <w:sz w:val="20"/>
                <w:szCs w:val="20"/>
              </w:rPr>
            </w:pPr>
            <w:r w:rsidRPr="0064652A">
              <w:rPr>
                <w:b/>
                <w:bCs/>
                <w:color w:val="000000"/>
                <w:sz w:val="20"/>
                <w:szCs w:val="20"/>
              </w:rPr>
              <w:t> </w:t>
            </w:r>
          </w:p>
        </w:tc>
      </w:tr>
      <w:tr w:rsidR="00C820B8" w:rsidRPr="0064652A" w14:paraId="438832AD" w14:textId="77777777">
        <w:tc>
          <w:tcPr>
            <w:tcW w:w="0" w:type="auto"/>
            <w:tcMar>
              <w:top w:w="5" w:type="dxa"/>
              <w:left w:w="5" w:type="dxa"/>
              <w:bottom w:w="5" w:type="dxa"/>
              <w:right w:w="5" w:type="dxa"/>
            </w:tcMar>
            <w:vAlign w:val="bottom"/>
            <w:hideMark/>
          </w:tcPr>
          <w:p w14:paraId="5928FEB3" w14:textId="77777777" w:rsidR="00C820B8" w:rsidRPr="0064652A" w:rsidRDefault="008D7FC6">
            <w:pPr>
              <w:rPr>
                <w:color w:val="000000"/>
                <w:sz w:val="20"/>
                <w:szCs w:val="20"/>
              </w:rPr>
            </w:pPr>
            <w:r w:rsidRPr="0064652A">
              <w:rPr>
                <w:color w:val="000000"/>
                <w:sz w:val="20"/>
                <w:szCs w:val="20"/>
              </w:rPr>
              <w:t>Denominator for basic and diluted income (loss) per share — weighted average shares</w:t>
            </w:r>
          </w:p>
        </w:tc>
        <w:tc>
          <w:tcPr>
            <w:tcW w:w="50" w:type="pct"/>
            <w:tcMar>
              <w:top w:w="5" w:type="dxa"/>
              <w:left w:w="5" w:type="dxa"/>
              <w:bottom w:w="5" w:type="dxa"/>
              <w:right w:w="5" w:type="dxa"/>
            </w:tcMar>
            <w:vAlign w:val="bottom"/>
            <w:hideMark/>
          </w:tcPr>
          <w:p w14:paraId="14BFF7F7"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3987787" w14:textId="77777777" w:rsidR="00C820B8" w:rsidRPr="0064652A" w:rsidRDefault="008D7FC6">
            <w:pPr>
              <w:rPr>
                <w:color w:val="000000"/>
                <w:sz w:val="20"/>
                <w:szCs w:val="20"/>
              </w:rPr>
            </w:pPr>
            <w:r w:rsidRPr="0064652A">
              <w:rPr>
                <w:color w:val="000000"/>
                <w:sz w:val="20"/>
                <w:szCs w:val="20"/>
              </w:rPr>
              <w:t> </w:t>
            </w:r>
          </w:p>
        </w:tc>
        <w:tc>
          <w:tcPr>
            <w:tcW w:w="500" w:type="pct"/>
            <w:tcBorders>
              <w:bottom w:val="double" w:sz="6" w:space="0" w:color="000000"/>
            </w:tcBorders>
            <w:tcMar>
              <w:top w:w="5" w:type="dxa"/>
              <w:left w:w="5" w:type="dxa"/>
              <w:bottom w:w="22" w:type="dxa"/>
              <w:right w:w="5" w:type="dxa"/>
            </w:tcMar>
            <w:vAlign w:val="bottom"/>
            <w:hideMark/>
          </w:tcPr>
          <w:p w14:paraId="2B2E43BF" w14:textId="77777777" w:rsidR="00C820B8" w:rsidRPr="0064652A" w:rsidRDefault="008D7FC6">
            <w:pPr>
              <w:jc w:val="right"/>
              <w:rPr>
                <w:color w:val="000000"/>
                <w:sz w:val="20"/>
                <w:szCs w:val="20"/>
              </w:rPr>
            </w:pPr>
            <w:r w:rsidRPr="0064652A">
              <w:rPr>
                <w:color w:val="000000"/>
                <w:sz w:val="20"/>
                <w:szCs w:val="20"/>
              </w:rPr>
              <w:t>21,042,652</w:t>
            </w:r>
          </w:p>
        </w:tc>
        <w:tc>
          <w:tcPr>
            <w:tcW w:w="50" w:type="pct"/>
            <w:noWrap/>
            <w:tcMar>
              <w:top w:w="5" w:type="dxa"/>
              <w:left w:w="5" w:type="dxa"/>
              <w:bottom w:w="50" w:type="dxa"/>
              <w:right w:w="5" w:type="dxa"/>
            </w:tcMar>
            <w:vAlign w:val="bottom"/>
            <w:hideMark/>
          </w:tcPr>
          <w:p w14:paraId="28E9B7B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93A1D09"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5789A2B" w14:textId="77777777" w:rsidR="00C820B8" w:rsidRPr="0064652A" w:rsidRDefault="008D7FC6">
            <w:pPr>
              <w:rPr>
                <w:color w:val="000000"/>
                <w:sz w:val="20"/>
                <w:szCs w:val="20"/>
              </w:rPr>
            </w:pPr>
            <w:r w:rsidRPr="0064652A">
              <w:rPr>
                <w:color w:val="000000"/>
                <w:sz w:val="20"/>
                <w:szCs w:val="20"/>
              </w:rPr>
              <w:t> </w:t>
            </w:r>
          </w:p>
        </w:tc>
        <w:tc>
          <w:tcPr>
            <w:tcW w:w="500" w:type="pct"/>
            <w:tcBorders>
              <w:bottom w:val="double" w:sz="6" w:space="0" w:color="000000"/>
            </w:tcBorders>
            <w:tcMar>
              <w:top w:w="5" w:type="dxa"/>
              <w:left w:w="5" w:type="dxa"/>
              <w:bottom w:w="22" w:type="dxa"/>
              <w:right w:w="5" w:type="dxa"/>
            </w:tcMar>
            <w:vAlign w:val="bottom"/>
            <w:hideMark/>
          </w:tcPr>
          <w:p w14:paraId="6EBF2A6D" w14:textId="77777777" w:rsidR="00C820B8" w:rsidRPr="0064652A" w:rsidRDefault="008D7FC6">
            <w:pPr>
              <w:jc w:val="right"/>
              <w:rPr>
                <w:color w:val="000000"/>
                <w:sz w:val="20"/>
                <w:szCs w:val="20"/>
              </w:rPr>
            </w:pPr>
            <w:r w:rsidRPr="0064652A">
              <w:rPr>
                <w:color w:val="000000"/>
                <w:sz w:val="20"/>
                <w:szCs w:val="20"/>
              </w:rPr>
              <w:t>21,042,652</w:t>
            </w:r>
          </w:p>
        </w:tc>
        <w:tc>
          <w:tcPr>
            <w:tcW w:w="50" w:type="pct"/>
            <w:noWrap/>
            <w:tcMar>
              <w:top w:w="5" w:type="dxa"/>
              <w:left w:w="5" w:type="dxa"/>
              <w:bottom w:w="50" w:type="dxa"/>
              <w:right w:w="5" w:type="dxa"/>
            </w:tcMar>
            <w:vAlign w:val="bottom"/>
            <w:hideMark/>
          </w:tcPr>
          <w:p w14:paraId="36CB8A6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988DC4B"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2780B67" w14:textId="77777777" w:rsidR="00C820B8" w:rsidRPr="0064652A" w:rsidRDefault="008D7FC6">
            <w:pPr>
              <w:rPr>
                <w:color w:val="000000"/>
                <w:sz w:val="20"/>
                <w:szCs w:val="20"/>
              </w:rPr>
            </w:pPr>
            <w:r w:rsidRPr="0064652A">
              <w:rPr>
                <w:color w:val="000000"/>
                <w:sz w:val="20"/>
                <w:szCs w:val="20"/>
              </w:rPr>
              <w:t> </w:t>
            </w:r>
          </w:p>
        </w:tc>
        <w:tc>
          <w:tcPr>
            <w:tcW w:w="500" w:type="pct"/>
            <w:tcBorders>
              <w:bottom w:val="double" w:sz="6" w:space="0" w:color="000000"/>
            </w:tcBorders>
            <w:tcMar>
              <w:top w:w="5" w:type="dxa"/>
              <w:left w:w="5" w:type="dxa"/>
              <w:bottom w:w="22" w:type="dxa"/>
              <w:right w:w="5" w:type="dxa"/>
            </w:tcMar>
            <w:vAlign w:val="bottom"/>
            <w:hideMark/>
          </w:tcPr>
          <w:p w14:paraId="625A464F" w14:textId="77777777" w:rsidR="00C820B8" w:rsidRPr="0064652A" w:rsidRDefault="008D7FC6">
            <w:pPr>
              <w:jc w:val="right"/>
              <w:rPr>
                <w:color w:val="000000"/>
                <w:sz w:val="20"/>
                <w:szCs w:val="20"/>
              </w:rPr>
            </w:pPr>
            <w:r w:rsidRPr="0064652A">
              <w:rPr>
                <w:color w:val="000000"/>
                <w:sz w:val="20"/>
                <w:szCs w:val="20"/>
              </w:rPr>
              <w:t>21,042,652</w:t>
            </w:r>
          </w:p>
        </w:tc>
        <w:tc>
          <w:tcPr>
            <w:tcW w:w="50" w:type="pct"/>
            <w:noWrap/>
            <w:tcMar>
              <w:top w:w="5" w:type="dxa"/>
              <w:left w:w="5" w:type="dxa"/>
              <w:bottom w:w="50" w:type="dxa"/>
              <w:right w:w="5" w:type="dxa"/>
            </w:tcMar>
            <w:vAlign w:val="bottom"/>
            <w:hideMark/>
          </w:tcPr>
          <w:p w14:paraId="3C48210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627418A"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B0A0F9F" w14:textId="77777777" w:rsidR="00C820B8" w:rsidRPr="0064652A" w:rsidRDefault="008D7FC6">
            <w:pPr>
              <w:rPr>
                <w:color w:val="000000"/>
                <w:sz w:val="20"/>
                <w:szCs w:val="20"/>
              </w:rPr>
            </w:pPr>
            <w:r w:rsidRPr="0064652A">
              <w:rPr>
                <w:color w:val="000000"/>
                <w:sz w:val="20"/>
                <w:szCs w:val="20"/>
              </w:rPr>
              <w:t> </w:t>
            </w:r>
          </w:p>
        </w:tc>
        <w:tc>
          <w:tcPr>
            <w:tcW w:w="500" w:type="pct"/>
            <w:tcBorders>
              <w:bottom w:val="double" w:sz="6" w:space="0" w:color="000000"/>
            </w:tcBorders>
            <w:tcMar>
              <w:top w:w="5" w:type="dxa"/>
              <w:left w:w="5" w:type="dxa"/>
              <w:bottom w:w="22" w:type="dxa"/>
              <w:right w:w="5" w:type="dxa"/>
            </w:tcMar>
            <w:vAlign w:val="bottom"/>
            <w:hideMark/>
          </w:tcPr>
          <w:p w14:paraId="6C05FAFC" w14:textId="77777777" w:rsidR="00C820B8" w:rsidRPr="0064652A" w:rsidRDefault="008D7FC6">
            <w:pPr>
              <w:jc w:val="right"/>
              <w:rPr>
                <w:color w:val="000000"/>
                <w:sz w:val="20"/>
                <w:szCs w:val="20"/>
              </w:rPr>
            </w:pPr>
            <w:r w:rsidRPr="0064652A">
              <w:rPr>
                <w:color w:val="000000"/>
                <w:sz w:val="20"/>
                <w:szCs w:val="20"/>
              </w:rPr>
              <w:t>21,042,652</w:t>
            </w:r>
          </w:p>
        </w:tc>
        <w:tc>
          <w:tcPr>
            <w:tcW w:w="50" w:type="pct"/>
            <w:noWrap/>
            <w:tcMar>
              <w:top w:w="5" w:type="dxa"/>
              <w:left w:w="5" w:type="dxa"/>
              <w:bottom w:w="50" w:type="dxa"/>
              <w:right w:w="5" w:type="dxa"/>
            </w:tcMar>
            <w:vAlign w:val="bottom"/>
            <w:hideMark/>
          </w:tcPr>
          <w:p w14:paraId="3C7A868A" w14:textId="77777777" w:rsidR="00C820B8" w:rsidRPr="0064652A" w:rsidRDefault="008D7FC6">
            <w:pPr>
              <w:rPr>
                <w:color w:val="000000"/>
                <w:sz w:val="20"/>
                <w:szCs w:val="20"/>
              </w:rPr>
            </w:pPr>
            <w:r w:rsidRPr="0064652A">
              <w:rPr>
                <w:color w:val="000000"/>
                <w:sz w:val="20"/>
                <w:szCs w:val="20"/>
              </w:rPr>
              <w:t> </w:t>
            </w:r>
          </w:p>
        </w:tc>
      </w:tr>
      <w:tr w:rsidR="00C820B8" w:rsidRPr="0064652A" w14:paraId="7C028ACB" w14:textId="77777777">
        <w:tc>
          <w:tcPr>
            <w:tcW w:w="0" w:type="auto"/>
            <w:tcMar>
              <w:top w:w="5" w:type="dxa"/>
              <w:left w:w="5" w:type="dxa"/>
              <w:bottom w:w="5" w:type="dxa"/>
              <w:right w:w="5" w:type="dxa"/>
            </w:tcMar>
            <w:vAlign w:val="bottom"/>
            <w:hideMark/>
          </w:tcPr>
          <w:p w14:paraId="5B0CE8D1" w14:textId="77777777" w:rsidR="00C820B8" w:rsidRPr="0064652A" w:rsidRDefault="008D7FC6">
            <w:pPr>
              <w:rPr>
                <w:color w:val="000000"/>
                <w:sz w:val="20"/>
                <w:szCs w:val="20"/>
              </w:rPr>
            </w:pPr>
            <w:r w:rsidRPr="0064652A">
              <w:rPr>
                <w:b/>
                <w:bCs/>
                <w:color w:val="000000"/>
                <w:sz w:val="20"/>
                <w:szCs w:val="20"/>
              </w:rPr>
              <w:t>Net income (loss) per share:</w:t>
            </w:r>
          </w:p>
        </w:tc>
        <w:tc>
          <w:tcPr>
            <w:tcW w:w="0" w:type="auto"/>
            <w:tcMar>
              <w:top w:w="5" w:type="dxa"/>
              <w:left w:w="5" w:type="dxa"/>
              <w:bottom w:w="5" w:type="dxa"/>
              <w:right w:w="5" w:type="dxa"/>
            </w:tcMar>
            <w:vAlign w:val="bottom"/>
            <w:hideMark/>
          </w:tcPr>
          <w:p w14:paraId="194C8F3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91E088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03A89C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0C348A4"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3EC696C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392C79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1003617"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027CD59"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21FDA3A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A7B183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F5D408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780BA75"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607DDE76"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7CC4B67"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37595E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104461C" w14:textId="77777777" w:rsidR="00C820B8" w:rsidRPr="0064652A" w:rsidRDefault="008D7FC6">
            <w:pPr>
              <w:rPr>
                <w:color w:val="000000"/>
                <w:sz w:val="20"/>
                <w:szCs w:val="20"/>
              </w:rPr>
            </w:pPr>
            <w:r w:rsidRPr="0064652A">
              <w:rPr>
                <w:b/>
                <w:bCs/>
                <w:color w:val="000000"/>
                <w:sz w:val="20"/>
                <w:szCs w:val="20"/>
              </w:rPr>
              <w:t> </w:t>
            </w:r>
          </w:p>
        </w:tc>
      </w:tr>
      <w:tr w:rsidR="00C820B8" w:rsidRPr="0064652A" w14:paraId="3B38192D" w14:textId="77777777">
        <w:tc>
          <w:tcPr>
            <w:tcW w:w="0" w:type="auto"/>
            <w:tcMar>
              <w:top w:w="5" w:type="dxa"/>
              <w:left w:w="5" w:type="dxa"/>
              <w:bottom w:w="5" w:type="dxa"/>
              <w:right w:w="5" w:type="dxa"/>
            </w:tcMar>
            <w:vAlign w:val="bottom"/>
            <w:hideMark/>
          </w:tcPr>
          <w:p w14:paraId="089379CC" w14:textId="77777777" w:rsidR="00C820B8" w:rsidRPr="0064652A" w:rsidRDefault="008D7FC6">
            <w:pPr>
              <w:rPr>
                <w:color w:val="000000"/>
                <w:sz w:val="20"/>
                <w:szCs w:val="20"/>
              </w:rPr>
            </w:pPr>
            <w:r w:rsidRPr="0064652A">
              <w:rPr>
                <w:color w:val="000000"/>
                <w:sz w:val="20"/>
                <w:szCs w:val="20"/>
              </w:rPr>
              <w:t>Basic and diluted income (loss) per share</w:t>
            </w:r>
          </w:p>
        </w:tc>
        <w:tc>
          <w:tcPr>
            <w:tcW w:w="50" w:type="pct"/>
            <w:tcMar>
              <w:top w:w="5" w:type="dxa"/>
              <w:left w:w="5" w:type="dxa"/>
              <w:bottom w:w="5" w:type="dxa"/>
              <w:right w:w="5" w:type="dxa"/>
            </w:tcMar>
            <w:vAlign w:val="bottom"/>
            <w:hideMark/>
          </w:tcPr>
          <w:p w14:paraId="1CB437E4"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8D0E2D2" w14:textId="77777777" w:rsidR="00C820B8" w:rsidRPr="0064652A" w:rsidRDefault="008D7FC6">
            <w:pPr>
              <w:rPr>
                <w:color w:val="000000"/>
                <w:sz w:val="20"/>
                <w:szCs w:val="20"/>
              </w:rPr>
            </w:pPr>
            <w:r w:rsidRPr="0064652A">
              <w:rPr>
                <w:color w:val="000000"/>
                <w:sz w:val="20"/>
                <w:szCs w:val="20"/>
              </w:rPr>
              <w:t>$</w:t>
            </w:r>
          </w:p>
        </w:tc>
        <w:tc>
          <w:tcPr>
            <w:tcW w:w="500" w:type="pct"/>
            <w:tcBorders>
              <w:bottom w:val="double" w:sz="6" w:space="0" w:color="000000"/>
            </w:tcBorders>
            <w:tcMar>
              <w:top w:w="5" w:type="dxa"/>
              <w:left w:w="5" w:type="dxa"/>
              <w:bottom w:w="22" w:type="dxa"/>
              <w:right w:w="5" w:type="dxa"/>
            </w:tcMar>
            <w:vAlign w:val="bottom"/>
            <w:hideMark/>
          </w:tcPr>
          <w:p w14:paraId="109A6696" w14:textId="77777777" w:rsidR="00C820B8" w:rsidRPr="0064652A" w:rsidRDefault="008D7FC6">
            <w:pPr>
              <w:jc w:val="right"/>
              <w:rPr>
                <w:color w:val="000000"/>
                <w:sz w:val="20"/>
                <w:szCs w:val="20"/>
              </w:rPr>
            </w:pPr>
            <w:r w:rsidRPr="0064652A">
              <w:rPr>
                <w:color w:val="000000"/>
                <w:sz w:val="20"/>
                <w:szCs w:val="20"/>
              </w:rPr>
              <w:t>(0.02</w:t>
            </w:r>
          </w:p>
        </w:tc>
        <w:tc>
          <w:tcPr>
            <w:tcW w:w="50" w:type="pct"/>
            <w:noWrap/>
            <w:tcMar>
              <w:top w:w="5" w:type="dxa"/>
              <w:left w:w="5" w:type="dxa"/>
              <w:bottom w:w="50" w:type="dxa"/>
              <w:right w:w="5" w:type="dxa"/>
            </w:tcMar>
            <w:vAlign w:val="bottom"/>
            <w:hideMark/>
          </w:tcPr>
          <w:p w14:paraId="0E5E493C"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522C33E0"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4CEF13E" w14:textId="77777777" w:rsidR="00C820B8" w:rsidRPr="0064652A" w:rsidRDefault="008D7FC6">
            <w:pPr>
              <w:rPr>
                <w:color w:val="000000"/>
                <w:sz w:val="20"/>
                <w:szCs w:val="20"/>
              </w:rPr>
            </w:pPr>
            <w:r w:rsidRPr="0064652A">
              <w:rPr>
                <w:color w:val="000000"/>
                <w:sz w:val="20"/>
                <w:szCs w:val="20"/>
              </w:rPr>
              <w:t>$</w:t>
            </w:r>
          </w:p>
        </w:tc>
        <w:tc>
          <w:tcPr>
            <w:tcW w:w="500" w:type="pct"/>
            <w:tcBorders>
              <w:bottom w:val="double" w:sz="6" w:space="0" w:color="000000"/>
            </w:tcBorders>
            <w:tcMar>
              <w:top w:w="5" w:type="dxa"/>
              <w:left w:w="5" w:type="dxa"/>
              <w:bottom w:w="22" w:type="dxa"/>
              <w:right w:w="5" w:type="dxa"/>
            </w:tcMar>
            <w:vAlign w:val="bottom"/>
            <w:hideMark/>
          </w:tcPr>
          <w:p w14:paraId="12099B56" w14:textId="77777777" w:rsidR="00C820B8" w:rsidRPr="0064652A" w:rsidRDefault="008D7FC6">
            <w:pPr>
              <w:jc w:val="right"/>
              <w:rPr>
                <w:color w:val="000000"/>
                <w:sz w:val="20"/>
                <w:szCs w:val="20"/>
              </w:rPr>
            </w:pPr>
            <w:r w:rsidRPr="0064652A">
              <w:rPr>
                <w:color w:val="000000"/>
                <w:sz w:val="20"/>
                <w:szCs w:val="20"/>
              </w:rPr>
              <w:t>(0.01</w:t>
            </w:r>
          </w:p>
        </w:tc>
        <w:tc>
          <w:tcPr>
            <w:tcW w:w="50" w:type="pct"/>
            <w:noWrap/>
            <w:tcMar>
              <w:top w:w="5" w:type="dxa"/>
              <w:left w:w="5" w:type="dxa"/>
              <w:bottom w:w="50" w:type="dxa"/>
              <w:right w:w="5" w:type="dxa"/>
            </w:tcMar>
            <w:vAlign w:val="bottom"/>
            <w:hideMark/>
          </w:tcPr>
          <w:p w14:paraId="1598F47B"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27E7DC0A"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4F13ECF" w14:textId="77777777" w:rsidR="00C820B8" w:rsidRPr="0064652A" w:rsidRDefault="008D7FC6">
            <w:pPr>
              <w:rPr>
                <w:color w:val="000000"/>
                <w:sz w:val="20"/>
                <w:szCs w:val="20"/>
              </w:rPr>
            </w:pPr>
            <w:r w:rsidRPr="0064652A">
              <w:rPr>
                <w:color w:val="000000"/>
                <w:sz w:val="20"/>
                <w:szCs w:val="20"/>
              </w:rPr>
              <w:t>$</w:t>
            </w:r>
          </w:p>
        </w:tc>
        <w:tc>
          <w:tcPr>
            <w:tcW w:w="500" w:type="pct"/>
            <w:tcBorders>
              <w:bottom w:val="double" w:sz="6" w:space="0" w:color="000000"/>
            </w:tcBorders>
            <w:tcMar>
              <w:top w:w="5" w:type="dxa"/>
              <w:left w:w="5" w:type="dxa"/>
              <w:bottom w:w="22" w:type="dxa"/>
              <w:right w:w="5" w:type="dxa"/>
            </w:tcMar>
            <w:vAlign w:val="bottom"/>
            <w:hideMark/>
          </w:tcPr>
          <w:p w14:paraId="36033024" w14:textId="77777777" w:rsidR="00C820B8" w:rsidRPr="0064652A" w:rsidRDefault="008D7FC6">
            <w:pPr>
              <w:jc w:val="right"/>
              <w:rPr>
                <w:color w:val="000000"/>
                <w:sz w:val="20"/>
                <w:szCs w:val="20"/>
              </w:rPr>
            </w:pPr>
            <w:r w:rsidRPr="0064652A">
              <w:rPr>
                <w:color w:val="000000"/>
                <w:sz w:val="20"/>
                <w:szCs w:val="20"/>
              </w:rPr>
              <w:t>0.08</w:t>
            </w:r>
          </w:p>
        </w:tc>
        <w:tc>
          <w:tcPr>
            <w:tcW w:w="50" w:type="pct"/>
            <w:noWrap/>
            <w:tcMar>
              <w:top w:w="5" w:type="dxa"/>
              <w:left w:w="5" w:type="dxa"/>
              <w:bottom w:w="50" w:type="dxa"/>
              <w:right w:w="5" w:type="dxa"/>
            </w:tcMar>
            <w:vAlign w:val="bottom"/>
            <w:hideMark/>
          </w:tcPr>
          <w:p w14:paraId="335A9D9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65D3CEB"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1F6D5A5" w14:textId="77777777" w:rsidR="00C820B8" w:rsidRPr="0064652A" w:rsidRDefault="008D7FC6">
            <w:pPr>
              <w:rPr>
                <w:color w:val="000000"/>
                <w:sz w:val="20"/>
                <w:szCs w:val="20"/>
              </w:rPr>
            </w:pPr>
            <w:r w:rsidRPr="0064652A">
              <w:rPr>
                <w:color w:val="000000"/>
                <w:sz w:val="20"/>
                <w:szCs w:val="20"/>
              </w:rPr>
              <w:t>$</w:t>
            </w:r>
          </w:p>
        </w:tc>
        <w:tc>
          <w:tcPr>
            <w:tcW w:w="500" w:type="pct"/>
            <w:tcBorders>
              <w:bottom w:val="double" w:sz="6" w:space="0" w:color="000000"/>
            </w:tcBorders>
            <w:tcMar>
              <w:top w:w="5" w:type="dxa"/>
              <w:left w:w="5" w:type="dxa"/>
              <w:bottom w:w="22" w:type="dxa"/>
              <w:right w:w="5" w:type="dxa"/>
            </w:tcMar>
            <w:vAlign w:val="bottom"/>
            <w:hideMark/>
          </w:tcPr>
          <w:p w14:paraId="656EDF59" w14:textId="77777777" w:rsidR="00C820B8" w:rsidRPr="0064652A" w:rsidRDefault="008D7FC6">
            <w:pPr>
              <w:jc w:val="right"/>
              <w:rPr>
                <w:color w:val="000000"/>
                <w:sz w:val="20"/>
                <w:szCs w:val="20"/>
              </w:rPr>
            </w:pPr>
            <w:r w:rsidRPr="0064652A">
              <w:rPr>
                <w:color w:val="000000"/>
                <w:sz w:val="20"/>
                <w:szCs w:val="20"/>
              </w:rPr>
              <w:t>(0.07</w:t>
            </w:r>
          </w:p>
        </w:tc>
        <w:tc>
          <w:tcPr>
            <w:tcW w:w="50" w:type="pct"/>
            <w:noWrap/>
            <w:tcMar>
              <w:top w:w="5" w:type="dxa"/>
              <w:left w:w="5" w:type="dxa"/>
              <w:bottom w:w="50" w:type="dxa"/>
              <w:right w:w="5" w:type="dxa"/>
            </w:tcMar>
            <w:vAlign w:val="bottom"/>
            <w:hideMark/>
          </w:tcPr>
          <w:p w14:paraId="697B5350" w14:textId="77777777" w:rsidR="00C820B8" w:rsidRPr="0064652A" w:rsidRDefault="008D7FC6">
            <w:pPr>
              <w:rPr>
                <w:color w:val="000000"/>
                <w:sz w:val="20"/>
                <w:szCs w:val="20"/>
              </w:rPr>
            </w:pPr>
            <w:r w:rsidRPr="0064652A">
              <w:rPr>
                <w:color w:val="000000"/>
                <w:sz w:val="20"/>
                <w:szCs w:val="20"/>
              </w:rPr>
              <w:t>)</w:t>
            </w:r>
          </w:p>
        </w:tc>
      </w:tr>
    </w:tbl>
    <w:p w14:paraId="722AA983" w14:textId="77777777" w:rsidR="00C820B8" w:rsidRPr="0064652A" w:rsidRDefault="008D7FC6">
      <w:pPr>
        <w:ind w:firstLine="500"/>
        <w:rPr>
          <w:sz w:val="20"/>
          <w:szCs w:val="20"/>
        </w:rPr>
      </w:pPr>
      <w:r w:rsidRPr="0064652A">
        <w:rPr>
          <w:sz w:val="20"/>
          <w:szCs w:val="20"/>
        </w:rPr>
        <w:lastRenderedPageBreak/>
        <w:t> </w:t>
      </w:r>
    </w:p>
    <w:p w14:paraId="69B60272" w14:textId="77777777" w:rsidR="00C820B8" w:rsidRPr="0064652A" w:rsidRDefault="008D7FC6">
      <w:r w:rsidRPr="0064652A">
        <w:t> </w:t>
      </w:r>
    </w:p>
    <w:p w14:paraId="0688B2FF" w14:textId="77777777" w:rsidR="00C820B8" w:rsidRPr="0064652A" w:rsidRDefault="008D7FC6">
      <w:pPr>
        <w:rPr>
          <w:sz w:val="20"/>
          <w:szCs w:val="20"/>
        </w:rPr>
      </w:pPr>
      <w:r w:rsidRPr="0064652A">
        <w:rPr>
          <w:b/>
          <w:bCs/>
          <w:sz w:val="20"/>
          <w:szCs w:val="20"/>
          <w:shd w:val="clear" w:color="auto" w:fill="FFFFFF"/>
        </w:rPr>
        <w:t xml:space="preserve">NOTE 3 </w:t>
      </w:r>
      <w:r w:rsidRPr="0064652A">
        <w:rPr>
          <w:sz w:val="20"/>
          <w:szCs w:val="20"/>
          <w:shd w:val="clear" w:color="auto" w:fill="FFFFFF"/>
        </w:rPr>
        <w:t>—</w:t>
      </w:r>
      <w:r w:rsidRPr="0064652A">
        <w:rPr>
          <w:b/>
          <w:bCs/>
          <w:sz w:val="20"/>
          <w:szCs w:val="20"/>
          <w:shd w:val="clear" w:color="auto" w:fill="FFFFFF"/>
        </w:rPr>
        <w:t xml:space="preserve"> SHAREHOLDERS</w:t>
      </w:r>
      <w:r w:rsidRPr="0064652A">
        <w:rPr>
          <w:sz w:val="20"/>
          <w:szCs w:val="20"/>
          <w:shd w:val="clear" w:color="auto" w:fill="FFFFFF"/>
        </w:rPr>
        <w:t>’</w:t>
      </w:r>
      <w:r w:rsidRPr="0064652A">
        <w:rPr>
          <w:b/>
          <w:bCs/>
          <w:sz w:val="20"/>
          <w:szCs w:val="20"/>
          <w:shd w:val="clear" w:color="auto" w:fill="FFFFFF"/>
        </w:rPr>
        <w:t xml:space="preserve"> EQUITY</w:t>
      </w:r>
    </w:p>
    <w:p w14:paraId="4547A379" w14:textId="77777777" w:rsidR="00C820B8" w:rsidRPr="0064652A" w:rsidRDefault="008D7FC6">
      <w:pPr>
        <w:rPr>
          <w:sz w:val="20"/>
          <w:szCs w:val="20"/>
        </w:rPr>
      </w:pPr>
      <w:r w:rsidRPr="0064652A">
        <w:rPr>
          <w:sz w:val="20"/>
          <w:szCs w:val="20"/>
        </w:rPr>
        <w:t> </w:t>
      </w:r>
    </w:p>
    <w:p w14:paraId="685733B1" w14:textId="77777777" w:rsidR="00C820B8" w:rsidRPr="0064652A" w:rsidRDefault="008D7FC6">
      <w:pPr>
        <w:ind w:firstLine="500"/>
        <w:rPr>
          <w:sz w:val="20"/>
          <w:szCs w:val="20"/>
        </w:rPr>
      </w:pPr>
      <w:r w:rsidRPr="0064652A">
        <w:rPr>
          <w:sz w:val="20"/>
          <w:szCs w:val="20"/>
        </w:rPr>
        <w:t>Outstanding capital stock at December 31, 2023 consisted of common stock and Series A preferred stock. The Series A preferred stock is non-voting, has no dividend preferences and has not been convertible since March 31, 2002; however, it retains a liquidation preference.</w:t>
      </w:r>
    </w:p>
    <w:p w14:paraId="74670C3A" w14:textId="77777777" w:rsidR="00C820B8" w:rsidRPr="0064652A" w:rsidRDefault="008D7FC6">
      <w:pPr>
        <w:rPr>
          <w:sz w:val="20"/>
          <w:szCs w:val="20"/>
        </w:rPr>
      </w:pPr>
      <w:r w:rsidRPr="0064652A">
        <w:rPr>
          <w:sz w:val="20"/>
          <w:szCs w:val="20"/>
        </w:rPr>
        <w:t> </w:t>
      </w:r>
    </w:p>
    <w:p w14:paraId="304D01BC" w14:textId="77777777" w:rsidR="00C820B8" w:rsidRPr="0064652A" w:rsidRDefault="008D7FC6">
      <w:pPr>
        <w:ind w:firstLine="500"/>
        <w:rPr>
          <w:sz w:val="20"/>
          <w:szCs w:val="20"/>
        </w:rPr>
      </w:pPr>
      <w:r w:rsidRPr="0064652A">
        <w:rPr>
          <w:sz w:val="20"/>
          <w:szCs w:val="20"/>
        </w:rPr>
        <w:t>At December 31, 2023, the Company had no options, warrants or other potentially dilutive securities outstanding.</w:t>
      </w:r>
    </w:p>
    <w:p w14:paraId="15485C18" w14:textId="77777777" w:rsidR="00C820B8" w:rsidRPr="0064652A" w:rsidRDefault="008D7FC6">
      <w:pPr>
        <w:rPr>
          <w:sz w:val="20"/>
          <w:szCs w:val="20"/>
        </w:rPr>
      </w:pPr>
      <w:r w:rsidRPr="0064652A">
        <w:rPr>
          <w:sz w:val="20"/>
          <w:szCs w:val="20"/>
        </w:rPr>
        <w:t> </w:t>
      </w:r>
    </w:p>
    <w:p w14:paraId="1401D38C" w14:textId="77777777" w:rsidR="00C820B8" w:rsidRPr="0064652A" w:rsidRDefault="008D7FC6">
      <w:pPr>
        <w:jc w:val="center"/>
        <w:rPr>
          <w:sz w:val="20"/>
          <w:szCs w:val="20"/>
        </w:rPr>
      </w:pPr>
      <w:r w:rsidRPr="0064652A">
        <w:rPr>
          <w:sz w:val="20"/>
          <w:szCs w:val="20"/>
        </w:rPr>
        <w:t>8</w:t>
      </w:r>
    </w:p>
    <w:p w14:paraId="251D58A2"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71DE1039" w14:textId="77777777" w:rsidR="00C820B8" w:rsidRPr="0064652A" w:rsidRDefault="008D7FC6">
      <w:pPr>
        <w:rPr>
          <w:sz w:val="20"/>
          <w:szCs w:val="20"/>
        </w:rPr>
      </w:pPr>
      <w:r w:rsidRPr="0064652A">
        <w:rPr>
          <w:sz w:val="20"/>
          <w:szCs w:val="20"/>
        </w:rPr>
        <w:t> </w:t>
      </w:r>
    </w:p>
    <w:p w14:paraId="6F213E95" w14:textId="77777777" w:rsidR="00C820B8" w:rsidRPr="0064652A" w:rsidRDefault="008D7FC6">
      <w:r w:rsidRPr="0064652A">
        <w:t> </w:t>
      </w:r>
    </w:p>
    <w:p w14:paraId="696ADF46" w14:textId="77777777" w:rsidR="00C820B8" w:rsidRPr="0064652A" w:rsidRDefault="008D7FC6">
      <w:pPr>
        <w:rPr>
          <w:sz w:val="20"/>
          <w:szCs w:val="20"/>
        </w:rPr>
      </w:pPr>
      <w:r w:rsidRPr="0064652A">
        <w:rPr>
          <w:b/>
          <w:bCs/>
          <w:sz w:val="20"/>
          <w:szCs w:val="20"/>
          <w:shd w:val="clear" w:color="auto" w:fill="FFFFFF"/>
        </w:rPr>
        <w:t xml:space="preserve">NOTE 4 </w:t>
      </w:r>
      <w:r w:rsidRPr="0064652A">
        <w:rPr>
          <w:sz w:val="20"/>
          <w:szCs w:val="20"/>
          <w:shd w:val="clear" w:color="auto" w:fill="FFFFFF"/>
        </w:rPr>
        <w:t>—</w:t>
      </w:r>
      <w:r w:rsidRPr="0064652A">
        <w:rPr>
          <w:b/>
          <w:bCs/>
          <w:sz w:val="20"/>
          <w:szCs w:val="20"/>
          <w:shd w:val="clear" w:color="auto" w:fill="FFFFFF"/>
        </w:rPr>
        <w:t xml:space="preserve"> INVENTORY</w:t>
      </w:r>
    </w:p>
    <w:p w14:paraId="44047817" w14:textId="77777777" w:rsidR="00C820B8" w:rsidRPr="0064652A" w:rsidRDefault="008D7FC6">
      <w:pPr>
        <w:rPr>
          <w:sz w:val="20"/>
          <w:szCs w:val="20"/>
        </w:rPr>
      </w:pPr>
      <w:r w:rsidRPr="0064652A">
        <w:rPr>
          <w:sz w:val="20"/>
          <w:szCs w:val="20"/>
        </w:rPr>
        <w:t> </w:t>
      </w:r>
    </w:p>
    <w:p w14:paraId="7A7FE743" w14:textId="77777777" w:rsidR="00C820B8" w:rsidRPr="0064652A" w:rsidRDefault="008D7FC6">
      <w:pPr>
        <w:ind w:firstLine="500"/>
        <w:rPr>
          <w:sz w:val="20"/>
          <w:szCs w:val="20"/>
        </w:rPr>
      </w:pPr>
      <w:r w:rsidRPr="0064652A">
        <w:rPr>
          <w:sz w:val="20"/>
          <w:szCs w:val="20"/>
        </w:rPr>
        <w:t>Inventories, which consist primarily of finished goods, are stated at the lower of cost or net realizable value. Cost is determined using the first-in, first-out method. As of December 31, 2023 and March 31, 2023, inventories consisted of the following (in thousands):</w:t>
      </w:r>
    </w:p>
    <w:p w14:paraId="17D7FE89" w14:textId="77777777" w:rsidR="00C820B8" w:rsidRPr="0064652A" w:rsidRDefault="008D7FC6">
      <w:pPr>
        <w:rPr>
          <w:sz w:val="20"/>
          <w:szCs w:val="20"/>
        </w:rPr>
      </w:pPr>
      <w:r w:rsidRPr="0064652A">
        <w:rPr>
          <w:sz w:val="20"/>
          <w:szCs w:val="20"/>
        </w:rPr>
        <w:t> </w:t>
      </w:r>
    </w:p>
    <w:tbl>
      <w:tblPr>
        <w:tblStyle w:val="finTable"/>
        <w:tblW w:w="4500" w:type="pct"/>
        <w:tblInd w:w="5" w:type="dxa"/>
        <w:tblCellMar>
          <w:left w:w="0" w:type="dxa"/>
          <w:right w:w="0" w:type="dxa"/>
        </w:tblCellMar>
        <w:tblLook w:val="05E0" w:firstRow="1" w:lastRow="1" w:firstColumn="1" w:lastColumn="1" w:noHBand="0" w:noVBand="1"/>
      </w:tblPr>
      <w:tblGrid>
        <w:gridCol w:w="6411"/>
        <w:gridCol w:w="93"/>
        <w:gridCol w:w="111"/>
        <w:gridCol w:w="1357"/>
        <w:gridCol w:w="93"/>
        <w:gridCol w:w="93"/>
        <w:gridCol w:w="111"/>
        <w:gridCol w:w="1357"/>
        <w:gridCol w:w="94"/>
      </w:tblGrid>
      <w:tr w:rsidR="00C820B8" w:rsidRPr="0064652A" w14:paraId="0CF7DD82" w14:textId="77777777">
        <w:tc>
          <w:tcPr>
            <w:tcW w:w="0" w:type="auto"/>
            <w:tcMar>
              <w:top w:w="5" w:type="dxa"/>
              <w:left w:w="5" w:type="dxa"/>
              <w:bottom w:w="5" w:type="dxa"/>
              <w:right w:w="5" w:type="dxa"/>
            </w:tcMar>
            <w:vAlign w:val="bottom"/>
            <w:hideMark/>
          </w:tcPr>
          <w:p w14:paraId="544C97B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96578C3"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4D6A189" w14:textId="77777777" w:rsidR="00C820B8" w:rsidRPr="0064652A" w:rsidRDefault="008D7FC6">
            <w:pPr>
              <w:jc w:val="center"/>
              <w:rPr>
                <w:color w:val="000000"/>
                <w:sz w:val="20"/>
                <w:szCs w:val="20"/>
              </w:rPr>
            </w:pPr>
            <w:r w:rsidRPr="0064652A">
              <w:rPr>
                <w:b/>
                <w:bCs/>
                <w:color w:val="000000"/>
                <w:sz w:val="20"/>
                <w:szCs w:val="20"/>
              </w:rPr>
              <w:t>December 31, 2023</w:t>
            </w:r>
          </w:p>
        </w:tc>
        <w:tc>
          <w:tcPr>
            <w:tcW w:w="0" w:type="auto"/>
            <w:tcMar>
              <w:top w:w="5" w:type="dxa"/>
              <w:left w:w="5" w:type="dxa"/>
              <w:bottom w:w="20" w:type="dxa"/>
              <w:right w:w="5" w:type="dxa"/>
            </w:tcMar>
            <w:vAlign w:val="bottom"/>
            <w:hideMark/>
          </w:tcPr>
          <w:p w14:paraId="18FFF6A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EA68ED5"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6C24843" w14:textId="77777777" w:rsidR="00C820B8" w:rsidRPr="0064652A" w:rsidRDefault="008D7FC6">
            <w:pPr>
              <w:jc w:val="center"/>
              <w:rPr>
                <w:color w:val="000000"/>
                <w:sz w:val="20"/>
                <w:szCs w:val="20"/>
              </w:rPr>
            </w:pPr>
            <w:r w:rsidRPr="0064652A">
              <w:rPr>
                <w:b/>
                <w:bCs/>
                <w:color w:val="000000"/>
                <w:sz w:val="20"/>
                <w:szCs w:val="20"/>
              </w:rPr>
              <w:t>March 31, 2023</w:t>
            </w:r>
          </w:p>
        </w:tc>
        <w:tc>
          <w:tcPr>
            <w:tcW w:w="0" w:type="auto"/>
            <w:tcMar>
              <w:top w:w="5" w:type="dxa"/>
              <w:left w:w="5" w:type="dxa"/>
              <w:bottom w:w="20" w:type="dxa"/>
              <w:right w:w="5" w:type="dxa"/>
            </w:tcMar>
            <w:vAlign w:val="bottom"/>
            <w:hideMark/>
          </w:tcPr>
          <w:p w14:paraId="265B05BD" w14:textId="77777777" w:rsidR="00C820B8" w:rsidRPr="0064652A" w:rsidRDefault="008D7FC6">
            <w:pPr>
              <w:rPr>
                <w:color w:val="000000"/>
                <w:sz w:val="20"/>
                <w:szCs w:val="20"/>
              </w:rPr>
            </w:pPr>
            <w:r w:rsidRPr="0064652A">
              <w:rPr>
                <w:color w:val="000000"/>
                <w:sz w:val="20"/>
                <w:szCs w:val="20"/>
              </w:rPr>
              <w:t> </w:t>
            </w:r>
          </w:p>
        </w:tc>
      </w:tr>
      <w:tr w:rsidR="00C820B8" w:rsidRPr="0064652A" w14:paraId="35554EB7" w14:textId="77777777">
        <w:tc>
          <w:tcPr>
            <w:tcW w:w="3300" w:type="pct"/>
            <w:tcMar>
              <w:top w:w="5" w:type="dxa"/>
              <w:left w:w="5" w:type="dxa"/>
              <w:bottom w:w="5" w:type="dxa"/>
              <w:right w:w="5" w:type="dxa"/>
            </w:tcMar>
            <w:vAlign w:val="bottom"/>
            <w:hideMark/>
          </w:tcPr>
          <w:p w14:paraId="1BF98066" w14:textId="77777777" w:rsidR="00C820B8" w:rsidRPr="0064652A" w:rsidRDefault="008D7FC6">
            <w:pPr>
              <w:rPr>
                <w:color w:val="000000"/>
                <w:sz w:val="20"/>
                <w:szCs w:val="20"/>
              </w:rPr>
            </w:pPr>
            <w:r w:rsidRPr="0064652A">
              <w:rPr>
                <w:color w:val="000000"/>
                <w:sz w:val="20"/>
                <w:szCs w:val="20"/>
              </w:rPr>
              <w:t>Finished goods</w:t>
            </w:r>
          </w:p>
        </w:tc>
        <w:tc>
          <w:tcPr>
            <w:tcW w:w="50" w:type="pct"/>
            <w:tcMar>
              <w:top w:w="5" w:type="dxa"/>
              <w:left w:w="5" w:type="dxa"/>
              <w:bottom w:w="5" w:type="dxa"/>
              <w:right w:w="5" w:type="dxa"/>
            </w:tcMar>
            <w:vAlign w:val="bottom"/>
            <w:hideMark/>
          </w:tcPr>
          <w:p w14:paraId="4DBF770F"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5476885" w14:textId="77777777" w:rsidR="00C820B8" w:rsidRPr="0064652A" w:rsidRDefault="008D7FC6">
            <w:pPr>
              <w:rPr>
                <w:color w:val="000000"/>
                <w:sz w:val="20"/>
                <w:szCs w:val="20"/>
              </w:rPr>
            </w:pPr>
            <w:r w:rsidRPr="0064652A">
              <w:rPr>
                <w:color w:val="000000"/>
                <w:sz w:val="20"/>
                <w:szCs w:val="20"/>
              </w:rPr>
              <w:t>$</w:t>
            </w:r>
          </w:p>
        </w:tc>
        <w:tc>
          <w:tcPr>
            <w:tcW w:w="700" w:type="pct"/>
            <w:tcBorders>
              <w:bottom w:val="double" w:sz="6" w:space="0" w:color="000000"/>
            </w:tcBorders>
            <w:tcMar>
              <w:top w:w="5" w:type="dxa"/>
              <w:left w:w="5" w:type="dxa"/>
              <w:bottom w:w="22" w:type="dxa"/>
              <w:right w:w="5" w:type="dxa"/>
            </w:tcMar>
            <w:vAlign w:val="bottom"/>
            <w:hideMark/>
          </w:tcPr>
          <w:p w14:paraId="5F8189A3" w14:textId="77777777" w:rsidR="00C820B8" w:rsidRPr="0064652A" w:rsidRDefault="008D7FC6">
            <w:pPr>
              <w:jc w:val="right"/>
              <w:rPr>
                <w:color w:val="000000"/>
                <w:sz w:val="20"/>
                <w:szCs w:val="20"/>
              </w:rPr>
            </w:pPr>
            <w:r w:rsidRPr="0064652A">
              <w:rPr>
                <w:color w:val="000000"/>
                <w:sz w:val="20"/>
                <w:szCs w:val="20"/>
              </w:rPr>
              <w:t>5,761</w:t>
            </w:r>
          </w:p>
        </w:tc>
        <w:tc>
          <w:tcPr>
            <w:tcW w:w="50" w:type="pct"/>
            <w:noWrap/>
            <w:tcMar>
              <w:top w:w="5" w:type="dxa"/>
              <w:left w:w="5" w:type="dxa"/>
              <w:bottom w:w="50" w:type="dxa"/>
              <w:right w:w="5" w:type="dxa"/>
            </w:tcMar>
            <w:vAlign w:val="bottom"/>
            <w:hideMark/>
          </w:tcPr>
          <w:p w14:paraId="078A0B7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5E647CB"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E5D0ABD" w14:textId="77777777" w:rsidR="00C820B8" w:rsidRPr="0064652A" w:rsidRDefault="008D7FC6">
            <w:pPr>
              <w:rPr>
                <w:color w:val="000000"/>
                <w:sz w:val="20"/>
                <w:szCs w:val="20"/>
              </w:rPr>
            </w:pPr>
            <w:r w:rsidRPr="0064652A">
              <w:rPr>
                <w:color w:val="000000"/>
                <w:sz w:val="20"/>
                <w:szCs w:val="20"/>
              </w:rPr>
              <w:t>$</w:t>
            </w:r>
          </w:p>
        </w:tc>
        <w:tc>
          <w:tcPr>
            <w:tcW w:w="700" w:type="pct"/>
            <w:tcBorders>
              <w:bottom w:val="double" w:sz="6" w:space="0" w:color="000000"/>
            </w:tcBorders>
            <w:tcMar>
              <w:top w:w="5" w:type="dxa"/>
              <w:left w:w="5" w:type="dxa"/>
              <w:bottom w:w="22" w:type="dxa"/>
              <w:right w:w="5" w:type="dxa"/>
            </w:tcMar>
            <w:vAlign w:val="bottom"/>
            <w:hideMark/>
          </w:tcPr>
          <w:p w14:paraId="5271E640" w14:textId="77777777" w:rsidR="00C820B8" w:rsidRPr="0064652A" w:rsidRDefault="008D7FC6">
            <w:pPr>
              <w:jc w:val="right"/>
              <w:rPr>
                <w:color w:val="000000"/>
                <w:sz w:val="20"/>
                <w:szCs w:val="20"/>
              </w:rPr>
            </w:pPr>
            <w:r w:rsidRPr="0064652A">
              <w:rPr>
                <w:color w:val="000000"/>
                <w:sz w:val="20"/>
                <w:szCs w:val="20"/>
              </w:rPr>
              <w:t>3,813</w:t>
            </w:r>
          </w:p>
        </w:tc>
        <w:tc>
          <w:tcPr>
            <w:tcW w:w="50" w:type="pct"/>
            <w:noWrap/>
            <w:tcMar>
              <w:top w:w="5" w:type="dxa"/>
              <w:left w:w="5" w:type="dxa"/>
              <w:bottom w:w="50" w:type="dxa"/>
              <w:right w:w="5" w:type="dxa"/>
            </w:tcMar>
            <w:vAlign w:val="bottom"/>
            <w:hideMark/>
          </w:tcPr>
          <w:p w14:paraId="769B0D2C" w14:textId="77777777" w:rsidR="00C820B8" w:rsidRPr="0064652A" w:rsidRDefault="008D7FC6">
            <w:pPr>
              <w:rPr>
                <w:color w:val="000000"/>
                <w:sz w:val="20"/>
                <w:szCs w:val="20"/>
              </w:rPr>
            </w:pPr>
            <w:r w:rsidRPr="0064652A">
              <w:rPr>
                <w:color w:val="000000"/>
                <w:sz w:val="20"/>
                <w:szCs w:val="20"/>
              </w:rPr>
              <w:t> </w:t>
            </w:r>
          </w:p>
        </w:tc>
      </w:tr>
    </w:tbl>
    <w:p w14:paraId="24B99487" w14:textId="77777777" w:rsidR="00C820B8" w:rsidRPr="0064652A" w:rsidRDefault="008D7FC6">
      <w:pPr>
        <w:rPr>
          <w:sz w:val="20"/>
          <w:szCs w:val="20"/>
        </w:rPr>
      </w:pPr>
      <w:r w:rsidRPr="0064652A">
        <w:rPr>
          <w:sz w:val="20"/>
          <w:szCs w:val="20"/>
        </w:rPr>
        <w:t> </w:t>
      </w:r>
    </w:p>
    <w:p w14:paraId="7E83D4E8" w14:textId="77777777" w:rsidR="00C820B8" w:rsidRPr="0064652A" w:rsidRDefault="008D7FC6">
      <w:r w:rsidRPr="0064652A">
        <w:t> </w:t>
      </w:r>
    </w:p>
    <w:p w14:paraId="228BCEA1" w14:textId="77777777" w:rsidR="00C820B8" w:rsidRPr="0064652A" w:rsidRDefault="008D7FC6">
      <w:pPr>
        <w:rPr>
          <w:sz w:val="20"/>
          <w:szCs w:val="20"/>
        </w:rPr>
      </w:pPr>
      <w:r w:rsidRPr="0064652A">
        <w:rPr>
          <w:b/>
          <w:bCs/>
          <w:sz w:val="20"/>
          <w:szCs w:val="20"/>
          <w:shd w:val="clear" w:color="auto" w:fill="FFFFFF"/>
        </w:rPr>
        <w:t xml:space="preserve">NOTE 5 </w:t>
      </w:r>
      <w:r w:rsidRPr="0064652A">
        <w:rPr>
          <w:sz w:val="20"/>
          <w:szCs w:val="20"/>
          <w:shd w:val="clear" w:color="auto" w:fill="FFFFFF"/>
        </w:rPr>
        <w:t>—</w:t>
      </w:r>
      <w:r w:rsidRPr="0064652A">
        <w:rPr>
          <w:b/>
          <w:bCs/>
          <w:sz w:val="20"/>
          <w:szCs w:val="20"/>
          <w:shd w:val="clear" w:color="auto" w:fill="FFFFFF"/>
        </w:rPr>
        <w:t xml:space="preserve"> INCOME TAXES</w:t>
      </w:r>
    </w:p>
    <w:p w14:paraId="6882C430" w14:textId="77777777" w:rsidR="00C820B8" w:rsidRPr="0064652A" w:rsidRDefault="008D7FC6">
      <w:pPr>
        <w:rPr>
          <w:sz w:val="20"/>
          <w:szCs w:val="20"/>
        </w:rPr>
      </w:pPr>
      <w:r w:rsidRPr="0064652A">
        <w:rPr>
          <w:sz w:val="20"/>
          <w:szCs w:val="20"/>
        </w:rPr>
        <w:t> </w:t>
      </w:r>
    </w:p>
    <w:p w14:paraId="7BAD4D23" w14:textId="77777777" w:rsidR="00C820B8" w:rsidRPr="0064652A" w:rsidRDefault="008D7FC6">
      <w:pPr>
        <w:ind w:firstLine="500"/>
        <w:rPr>
          <w:sz w:val="20"/>
          <w:szCs w:val="20"/>
        </w:rPr>
      </w:pPr>
      <w:r w:rsidRPr="0064652A">
        <w:rPr>
          <w:sz w:val="20"/>
          <w:szCs w:val="20"/>
          <w:shd w:val="clear" w:color="auto" w:fill="FFFFFF"/>
        </w:rPr>
        <w:t xml:space="preserve">At </w:t>
      </w:r>
      <w:r w:rsidRPr="0064652A">
        <w:rPr>
          <w:sz w:val="20"/>
          <w:szCs w:val="20"/>
        </w:rPr>
        <w:t>December 31, 2023</w:t>
      </w:r>
      <w:r w:rsidRPr="0064652A">
        <w:rPr>
          <w:sz w:val="20"/>
          <w:szCs w:val="20"/>
          <w:shd w:val="clear" w:color="auto" w:fill="FFFFFF"/>
        </w:rPr>
        <w:t xml:space="preserve">, the Company had $14.0 million of U.S. federal net operating loss (“NOL”) carry forwards. These losses do not expire but are limited to utilization of 80% of taxable income in any one year. At </w:t>
      </w:r>
      <w:r w:rsidRPr="0064652A">
        <w:rPr>
          <w:sz w:val="20"/>
          <w:szCs w:val="20"/>
        </w:rPr>
        <w:t>December 31, 2023</w:t>
      </w:r>
      <w:r w:rsidRPr="0064652A">
        <w:rPr>
          <w:sz w:val="20"/>
          <w:szCs w:val="20"/>
          <w:shd w:val="clear" w:color="auto" w:fill="FFFFFF"/>
        </w:rPr>
        <w:t>, the Company had approximately $16.1 million of U.S. state NOL carry forwards. The tax benefits related to these state NOL carry forwards and future deductible temporary differences are recorded to the extent management believes it is more likely than not that such benefits will be realized.</w:t>
      </w:r>
    </w:p>
    <w:p w14:paraId="4275208A" w14:textId="77777777" w:rsidR="00C820B8" w:rsidRPr="0064652A" w:rsidRDefault="008D7FC6">
      <w:pPr>
        <w:rPr>
          <w:sz w:val="20"/>
          <w:szCs w:val="20"/>
        </w:rPr>
      </w:pPr>
      <w:r w:rsidRPr="0064652A">
        <w:rPr>
          <w:sz w:val="20"/>
          <w:szCs w:val="20"/>
        </w:rPr>
        <w:t> </w:t>
      </w:r>
    </w:p>
    <w:p w14:paraId="226E2C78" w14:textId="77777777" w:rsidR="00C820B8" w:rsidRPr="0064652A" w:rsidRDefault="008D7FC6">
      <w:pPr>
        <w:ind w:firstLine="500"/>
        <w:rPr>
          <w:sz w:val="20"/>
          <w:szCs w:val="20"/>
        </w:rPr>
      </w:pPr>
      <w:r w:rsidRPr="0064652A">
        <w:rPr>
          <w:sz w:val="20"/>
          <w:szCs w:val="20"/>
          <w:shd w:val="clear" w:color="auto" w:fill="FFFFFF"/>
        </w:rPr>
        <w:t xml:space="preserve">The income of foreign subsidiaries before taxes was $293,000 for the three month period ended </w:t>
      </w:r>
      <w:r w:rsidRPr="0064652A">
        <w:rPr>
          <w:sz w:val="20"/>
          <w:szCs w:val="20"/>
        </w:rPr>
        <w:t>December 31, 2023</w:t>
      </w:r>
      <w:r w:rsidRPr="0064652A">
        <w:rPr>
          <w:sz w:val="20"/>
          <w:szCs w:val="20"/>
          <w:shd w:val="clear" w:color="auto" w:fill="FFFFFF"/>
        </w:rPr>
        <w:t xml:space="preserve"> as compared to income of foreign subsidiaries before taxes of $247,000 for the three month period ended </w:t>
      </w:r>
      <w:bookmarkStart w:id="13" w:name="led288631F2022881662679463306"/>
      <w:r w:rsidRPr="0064652A">
        <w:rPr>
          <w:sz w:val="20"/>
          <w:szCs w:val="20"/>
        </w:rPr>
        <w:t>December 31, 2022</w:t>
      </w:r>
      <w:r w:rsidRPr="0064652A">
        <w:rPr>
          <w:sz w:val="20"/>
          <w:szCs w:val="20"/>
          <w:shd w:val="clear" w:color="auto" w:fill="FFFFFF"/>
        </w:rPr>
        <w:t xml:space="preserve">. The income of foreign subsidiaries before taxes was $892,000 for the nine month period ended </w:t>
      </w:r>
      <w:r w:rsidRPr="0064652A">
        <w:rPr>
          <w:sz w:val="20"/>
          <w:szCs w:val="20"/>
        </w:rPr>
        <w:t>December 31, 2023</w:t>
      </w:r>
      <w:r w:rsidRPr="0064652A">
        <w:rPr>
          <w:sz w:val="20"/>
          <w:szCs w:val="20"/>
          <w:shd w:val="clear" w:color="auto" w:fill="FFFFFF"/>
        </w:rPr>
        <w:t xml:space="preserve"> as compared to income of foreign subsidiaries before taxes of $489,000 for the nine month period ended </w:t>
      </w:r>
      <w:r w:rsidRPr="0064652A">
        <w:rPr>
          <w:sz w:val="20"/>
          <w:szCs w:val="20"/>
        </w:rPr>
        <w:t>December 31, 2022</w:t>
      </w:r>
      <w:bookmarkEnd w:id="13"/>
      <w:r w:rsidRPr="0064652A">
        <w:rPr>
          <w:sz w:val="20"/>
          <w:szCs w:val="20"/>
          <w:shd w:val="clear" w:color="auto" w:fill="FFFFFF"/>
        </w:rPr>
        <w:t>.</w:t>
      </w:r>
    </w:p>
    <w:p w14:paraId="77ACC55E" w14:textId="77777777" w:rsidR="00C820B8" w:rsidRPr="0064652A" w:rsidRDefault="008D7FC6">
      <w:pPr>
        <w:rPr>
          <w:sz w:val="20"/>
          <w:szCs w:val="20"/>
        </w:rPr>
      </w:pPr>
      <w:r w:rsidRPr="0064652A">
        <w:rPr>
          <w:sz w:val="20"/>
          <w:szCs w:val="20"/>
        </w:rPr>
        <w:t> </w:t>
      </w:r>
    </w:p>
    <w:p w14:paraId="3A1C95D1" w14:textId="77777777" w:rsidR="00C820B8" w:rsidRPr="0064652A" w:rsidRDefault="008D7FC6">
      <w:pPr>
        <w:ind w:firstLine="500"/>
        <w:rPr>
          <w:sz w:val="20"/>
          <w:szCs w:val="20"/>
        </w:rPr>
      </w:pPr>
      <w:r w:rsidRPr="0064652A">
        <w:rPr>
          <w:sz w:val="20"/>
          <w:szCs w:val="20"/>
          <w:shd w:val="clear" w:color="auto" w:fill="FFFFFF"/>
        </w:rPr>
        <w:t xml:space="preserve">The Company analyzed the future reasonability of recognizing its deferred tax assets at </w:t>
      </w:r>
      <w:r w:rsidRPr="0064652A">
        <w:rPr>
          <w:sz w:val="20"/>
          <w:szCs w:val="20"/>
        </w:rPr>
        <w:t>December 31, 2023</w:t>
      </w:r>
      <w:r w:rsidRPr="0064652A">
        <w:rPr>
          <w:sz w:val="20"/>
          <w:szCs w:val="20"/>
          <w:shd w:val="clear" w:color="auto" w:fill="FFFFFF"/>
        </w:rPr>
        <w:t>. As a result, the Company concluded that a 100% valuation allowance of approximately $4,287,000 would be recorded against the assets.</w:t>
      </w:r>
    </w:p>
    <w:p w14:paraId="75AC57B4" w14:textId="77777777" w:rsidR="00C820B8" w:rsidRPr="0064652A" w:rsidRDefault="008D7FC6">
      <w:pPr>
        <w:rPr>
          <w:sz w:val="20"/>
          <w:szCs w:val="20"/>
        </w:rPr>
      </w:pPr>
      <w:r w:rsidRPr="0064652A">
        <w:rPr>
          <w:sz w:val="20"/>
          <w:szCs w:val="20"/>
        </w:rPr>
        <w:t> </w:t>
      </w:r>
    </w:p>
    <w:p w14:paraId="6FAD79FE" w14:textId="77777777" w:rsidR="00C820B8" w:rsidRPr="0064652A" w:rsidRDefault="008D7FC6">
      <w:pPr>
        <w:ind w:firstLine="560"/>
        <w:rPr>
          <w:sz w:val="20"/>
          <w:szCs w:val="20"/>
        </w:rPr>
      </w:pPr>
      <w:r w:rsidRPr="0064652A">
        <w:rPr>
          <w:sz w:val="20"/>
          <w:szCs w:val="20"/>
          <w:shd w:val="clear" w:color="auto" w:fill="FFFFFF"/>
        </w:rPr>
        <w:t xml:space="preserve">The Company recorded an income tax benefit of $14,000 and income tax expense of $74,000, respectively, during the </w:t>
      </w:r>
      <w:bookmarkStart w:id="14" w:name="led288631F2022881662679586863"/>
      <w:r w:rsidRPr="0064652A">
        <w:rPr>
          <w:sz w:val="20"/>
          <w:szCs w:val="20"/>
        </w:rPr>
        <w:t>three and nine month periods ended December 31, 2023</w:t>
      </w:r>
      <w:bookmarkEnd w:id="14"/>
      <w:r w:rsidRPr="0064652A">
        <w:rPr>
          <w:sz w:val="20"/>
          <w:szCs w:val="20"/>
          <w:shd w:val="clear" w:color="auto" w:fill="FFFFFF"/>
        </w:rPr>
        <w:t xml:space="preserve">. During the </w:t>
      </w:r>
      <w:bookmarkStart w:id="15" w:name="led288631F2022881662679597837"/>
      <w:r w:rsidRPr="0064652A">
        <w:rPr>
          <w:sz w:val="20"/>
          <w:szCs w:val="20"/>
        </w:rPr>
        <w:t>three and nine month periods ended December 31, 2022</w:t>
      </w:r>
      <w:bookmarkEnd w:id="15"/>
      <w:r w:rsidRPr="0064652A">
        <w:rPr>
          <w:sz w:val="20"/>
          <w:szCs w:val="20"/>
          <w:shd w:val="clear" w:color="auto" w:fill="FFFFFF"/>
        </w:rPr>
        <w:t>, the Company recorded income tax expense of nil and $10,950, respectively, primarily resulting from state income taxes. After the adoption of ASU 2019-12 “Income Taxes (Topic 740) – Simplifying the Accounting for Income Taxes”</w:t>
      </w:r>
      <w:r w:rsidRPr="0064652A">
        <w:rPr>
          <w:b/>
          <w:bCs/>
          <w:sz w:val="20"/>
          <w:szCs w:val="20"/>
          <w:shd w:val="clear" w:color="auto" w:fill="FFFFFF"/>
        </w:rPr>
        <w:t xml:space="preserve"> </w:t>
      </w:r>
      <w:r w:rsidRPr="0064652A">
        <w:rPr>
          <w:sz w:val="20"/>
          <w:szCs w:val="20"/>
          <w:shd w:val="clear" w:color="auto" w:fill="FFFFFF"/>
        </w:rPr>
        <w:t>during fiscal 2022, these non-income based state taxes are now reported within selling, general and administrative expenses.</w:t>
      </w:r>
    </w:p>
    <w:p w14:paraId="6D2DEACD" w14:textId="77777777" w:rsidR="00C820B8" w:rsidRPr="0064652A" w:rsidRDefault="008D7FC6">
      <w:pPr>
        <w:rPr>
          <w:sz w:val="20"/>
          <w:szCs w:val="20"/>
        </w:rPr>
      </w:pPr>
      <w:r w:rsidRPr="0064652A">
        <w:rPr>
          <w:sz w:val="20"/>
          <w:szCs w:val="20"/>
        </w:rPr>
        <w:t> </w:t>
      </w:r>
    </w:p>
    <w:p w14:paraId="1595991C" w14:textId="77777777" w:rsidR="00C820B8" w:rsidRPr="0064652A" w:rsidRDefault="008D7FC6">
      <w:pPr>
        <w:ind w:firstLine="500"/>
        <w:rPr>
          <w:sz w:val="20"/>
          <w:szCs w:val="20"/>
        </w:rPr>
      </w:pPr>
      <w:r w:rsidRPr="0064652A">
        <w:rPr>
          <w:sz w:val="20"/>
          <w:szCs w:val="20"/>
          <w:shd w:val="clear" w:color="auto" w:fill="FFFFFF"/>
        </w:rPr>
        <w:t xml:space="preserve">The Company is subject to examination and assessment by tax authorities in numerous jurisdictions. As of </w:t>
      </w:r>
      <w:r w:rsidRPr="0064652A">
        <w:rPr>
          <w:sz w:val="20"/>
          <w:szCs w:val="20"/>
        </w:rPr>
        <w:t>December 31, 2023</w:t>
      </w:r>
      <w:r w:rsidRPr="0064652A">
        <w:rPr>
          <w:sz w:val="20"/>
          <w:szCs w:val="20"/>
          <w:shd w:val="clear" w:color="auto" w:fill="FFFFFF"/>
        </w:rPr>
        <w:t>, the Company’s open tax years for examination for U.S. federal tax are 2018-2023, and for U.S. states’ tax are 2017-2023. Based on the outcome of tax examinations or due to the expiration of statutes of limitations, it is reasonably possible that the unrecognized tax benefits related to uncertain tax positions taken in previously filed returns may be different from the liabilities that have been recorded for these unrecognized tax benefits. As a result, the Company may be subject to additional tax expense.</w:t>
      </w:r>
    </w:p>
    <w:p w14:paraId="271F8A89" w14:textId="77777777" w:rsidR="00C820B8" w:rsidRPr="0064652A" w:rsidRDefault="008D7FC6">
      <w:pPr>
        <w:rPr>
          <w:sz w:val="20"/>
          <w:szCs w:val="20"/>
        </w:rPr>
      </w:pPr>
      <w:r w:rsidRPr="0064652A">
        <w:rPr>
          <w:sz w:val="20"/>
          <w:szCs w:val="20"/>
        </w:rPr>
        <w:t> </w:t>
      </w:r>
    </w:p>
    <w:p w14:paraId="00126890" w14:textId="77777777" w:rsidR="00C820B8" w:rsidRPr="0064652A" w:rsidRDefault="008D7FC6">
      <w:pPr>
        <w:ind w:firstLine="540"/>
        <w:rPr>
          <w:sz w:val="20"/>
          <w:szCs w:val="20"/>
        </w:rPr>
      </w:pPr>
      <w:r w:rsidRPr="0064652A">
        <w:rPr>
          <w:sz w:val="20"/>
          <w:szCs w:val="20"/>
          <w:shd w:val="clear" w:color="auto" w:fill="FFFFFF"/>
        </w:rPr>
        <w:t xml:space="preserve">As of </w:t>
      </w:r>
      <w:r w:rsidRPr="0064652A">
        <w:rPr>
          <w:sz w:val="20"/>
          <w:szCs w:val="20"/>
        </w:rPr>
        <w:t>December 31, 2023</w:t>
      </w:r>
      <w:r w:rsidRPr="0064652A">
        <w:rPr>
          <w:sz w:val="20"/>
          <w:szCs w:val="20"/>
          <w:shd w:val="clear" w:color="auto" w:fill="FFFFFF"/>
        </w:rPr>
        <w:t>, the Company is asserting under ASC 740-30 that all of the unremitted earnings of its foreign subsidiaries are indefinitely invested. The Company evaluates this assertion each period based on a number of factors, including the operating plans, budgets, and forecasts for both the Company and its foreign subsidiaries; the long-term and short-term financial requirements in the U.S. and in each foreign jurisdiction; and the tax consequences of any decision to repatriate earnings of foreign subsidiaries to the U.S.</w:t>
      </w:r>
    </w:p>
    <w:p w14:paraId="5D421807" w14:textId="77777777" w:rsidR="00C820B8" w:rsidRPr="0064652A" w:rsidRDefault="008D7FC6">
      <w:pPr>
        <w:ind w:firstLine="540"/>
        <w:rPr>
          <w:sz w:val="20"/>
          <w:szCs w:val="20"/>
        </w:rPr>
      </w:pPr>
      <w:r w:rsidRPr="0064652A">
        <w:rPr>
          <w:sz w:val="20"/>
          <w:szCs w:val="20"/>
        </w:rPr>
        <w:t> </w:t>
      </w:r>
    </w:p>
    <w:p w14:paraId="4BA0BBD4" w14:textId="77777777" w:rsidR="00C820B8" w:rsidRPr="0064652A" w:rsidRDefault="008D7FC6">
      <w:pPr>
        <w:ind w:firstLine="500"/>
        <w:rPr>
          <w:sz w:val="20"/>
          <w:szCs w:val="20"/>
        </w:rPr>
      </w:pPr>
      <w:r w:rsidRPr="0064652A">
        <w:rPr>
          <w:sz w:val="20"/>
          <w:szCs w:val="20"/>
          <w:shd w:val="clear" w:color="auto" w:fill="FFFFFF"/>
        </w:rPr>
        <w:t xml:space="preserve">As of </w:t>
      </w:r>
      <w:r w:rsidRPr="0064652A">
        <w:rPr>
          <w:sz w:val="20"/>
          <w:szCs w:val="20"/>
        </w:rPr>
        <w:t>December 31, 2023</w:t>
      </w:r>
      <w:r w:rsidRPr="0064652A">
        <w:rPr>
          <w:sz w:val="20"/>
          <w:szCs w:val="20"/>
          <w:shd w:val="clear" w:color="auto" w:fill="FFFFFF"/>
        </w:rPr>
        <w:t xml:space="preserve"> and </w:t>
      </w:r>
      <w:r w:rsidRPr="0064652A">
        <w:rPr>
          <w:sz w:val="20"/>
          <w:szCs w:val="20"/>
        </w:rPr>
        <w:t>March 31, 2023</w:t>
      </w:r>
      <w:r w:rsidRPr="0064652A">
        <w:rPr>
          <w:sz w:val="20"/>
          <w:szCs w:val="20"/>
          <w:shd w:val="clear" w:color="auto" w:fill="FFFFFF"/>
        </w:rPr>
        <w:t xml:space="preserve">, the Company had a federal tax liability of approximately $1,202,000 and $1,603,000, respectively, related to the repatriation of the Company’s undistributed earnings of its foreign subsidiaries as required by the Tax Cuts and Jobs Act of 2017 (the “Tax Act”). As of </w:t>
      </w:r>
      <w:r w:rsidRPr="0064652A">
        <w:rPr>
          <w:sz w:val="20"/>
          <w:szCs w:val="20"/>
        </w:rPr>
        <w:t>December 31, 2023</w:t>
      </w:r>
      <w:r w:rsidRPr="0064652A">
        <w:rPr>
          <w:sz w:val="20"/>
          <w:szCs w:val="20"/>
          <w:shd w:val="clear" w:color="auto" w:fill="FFFFFF"/>
        </w:rPr>
        <w:t xml:space="preserve"> and March 31, 2023, the Company’s short term portion was approximately $534,000 and $401,000, respectively, and the long term portion was approximately $668,000 and $1,202,000, respectively.</w:t>
      </w:r>
    </w:p>
    <w:p w14:paraId="7052A215" w14:textId="77777777" w:rsidR="00C820B8" w:rsidRPr="0064652A" w:rsidRDefault="008D7FC6">
      <w:pPr>
        <w:rPr>
          <w:sz w:val="20"/>
          <w:szCs w:val="20"/>
        </w:rPr>
      </w:pPr>
      <w:r w:rsidRPr="0064652A">
        <w:rPr>
          <w:sz w:val="20"/>
          <w:szCs w:val="20"/>
        </w:rPr>
        <w:t> </w:t>
      </w:r>
    </w:p>
    <w:p w14:paraId="2D20F950" w14:textId="77777777" w:rsidR="00C820B8" w:rsidRPr="0064652A" w:rsidRDefault="008D7FC6">
      <w:pPr>
        <w:ind w:firstLine="500"/>
        <w:rPr>
          <w:sz w:val="20"/>
          <w:szCs w:val="20"/>
        </w:rPr>
      </w:pPr>
      <w:r w:rsidRPr="0064652A">
        <w:rPr>
          <w:sz w:val="20"/>
          <w:szCs w:val="20"/>
          <w:shd w:val="clear" w:color="auto" w:fill="FFFFFF"/>
        </w:rPr>
        <w:t xml:space="preserve">The liability is payable over 8 years. The first five installments are each equal to 8%, the sixth is equal to 15%, the seventh is equal to 20% and the final installment is equal to 25% of the liability. As of </w:t>
      </w:r>
      <w:r w:rsidRPr="0064652A">
        <w:rPr>
          <w:sz w:val="20"/>
          <w:szCs w:val="20"/>
        </w:rPr>
        <w:t>December 31, 2023</w:t>
      </w:r>
      <w:r w:rsidRPr="0064652A">
        <w:rPr>
          <w:sz w:val="20"/>
          <w:szCs w:val="20"/>
          <w:shd w:val="clear" w:color="auto" w:fill="FFFFFF"/>
        </w:rPr>
        <w:t>, the Company has paid six of the eight installments. Each installment must be remitted on or before July 15</w:t>
      </w:r>
      <w:r w:rsidRPr="0064652A">
        <w:rPr>
          <w:sz w:val="17"/>
          <w:szCs w:val="17"/>
          <w:vertAlign w:val="superscript"/>
        </w:rPr>
        <w:t>th</w:t>
      </w:r>
      <w:r w:rsidRPr="0064652A">
        <w:rPr>
          <w:sz w:val="20"/>
          <w:szCs w:val="20"/>
          <w:shd w:val="clear" w:color="auto" w:fill="FFFFFF"/>
        </w:rPr>
        <w:t xml:space="preserve"> of the year in which such installment is due. On July 12, 2023, the Company paid its sixth installment of approximately $401,000.</w:t>
      </w:r>
    </w:p>
    <w:p w14:paraId="65094B4D" w14:textId="77777777" w:rsidR="00C820B8" w:rsidRPr="0064652A" w:rsidRDefault="008D7FC6">
      <w:pPr>
        <w:ind w:firstLine="500"/>
        <w:rPr>
          <w:sz w:val="20"/>
          <w:szCs w:val="20"/>
        </w:rPr>
      </w:pPr>
      <w:r w:rsidRPr="0064652A">
        <w:rPr>
          <w:sz w:val="20"/>
          <w:szCs w:val="20"/>
        </w:rPr>
        <w:t> </w:t>
      </w:r>
    </w:p>
    <w:p w14:paraId="309AAFA0" w14:textId="77777777" w:rsidR="00C820B8" w:rsidRPr="0064652A" w:rsidRDefault="008D7FC6">
      <w:pPr>
        <w:ind w:firstLine="500"/>
        <w:rPr>
          <w:sz w:val="20"/>
          <w:szCs w:val="20"/>
        </w:rPr>
      </w:pPr>
      <w:r w:rsidRPr="0064652A">
        <w:rPr>
          <w:sz w:val="20"/>
          <w:szCs w:val="20"/>
        </w:rPr>
        <w:t>In addition to the federal tax liabilities recorded under the Tax Act mentioned above, the Company incurred approximately $74,000 of additional federal tax liabilities resulting from the net income generated during the nine months ended December 31, 2023. Under the Tax Act, the Company was limited to 80% utilization of NOLs against taxable income in any one year. This limitation generated the additional $74,000 of federal tax liabilities as of December 31, 2023.</w:t>
      </w:r>
    </w:p>
    <w:p w14:paraId="3950611F" w14:textId="77777777" w:rsidR="00C820B8" w:rsidRPr="0064652A" w:rsidRDefault="008D7FC6">
      <w:pPr>
        <w:rPr>
          <w:sz w:val="20"/>
          <w:szCs w:val="20"/>
        </w:rPr>
      </w:pPr>
      <w:r w:rsidRPr="0064652A">
        <w:rPr>
          <w:sz w:val="20"/>
          <w:szCs w:val="20"/>
        </w:rPr>
        <w:lastRenderedPageBreak/>
        <w:t> </w:t>
      </w:r>
    </w:p>
    <w:p w14:paraId="5BAAAD7D" w14:textId="77777777" w:rsidR="00C820B8" w:rsidRPr="0064652A" w:rsidRDefault="008D7FC6">
      <w:r w:rsidRPr="0064652A">
        <w:t> </w:t>
      </w:r>
    </w:p>
    <w:p w14:paraId="3DCE7C56" w14:textId="77777777" w:rsidR="00C820B8" w:rsidRPr="0064652A" w:rsidRDefault="008D7FC6">
      <w:pPr>
        <w:rPr>
          <w:sz w:val="20"/>
          <w:szCs w:val="20"/>
        </w:rPr>
      </w:pPr>
      <w:r w:rsidRPr="0064652A">
        <w:rPr>
          <w:b/>
          <w:bCs/>
          <w:sz w:val="20"/>
          <w:szCs w:val="20"/>
          <w:shd w:val="clear" w:color="auto" w:fill="FFFFFF"/>
        </w:rPr>
        <w:t xml:space="preserve">NOTE 6 </w:t>
      </w:r>
      <w:r w:rsidRPr="0064652A">
        <w:rPr>
          <w:sz w:val="20"/>
          <w:szCs w:val="20"/>
          <w:shd w:val="clear" w:color="auto" w:fill="FFFFFF"/>
        </w:rPr>
        <w:t>—</w:t>
      </w:r>
      <w:r w:rsidRPr="0064652A">
        <w:rPr>
          <w:b/>
          <w:bCs/>
          <w:sz w:val="20"/>
          <w:szCs w:val="20"/>
          <w:shd w:val="clear" w:color="auto" w:fill="FFFFFF"/>
        </w:rPr>
        <w:t xml:space="preserve"> RELATED PARTY TRANSACTIONS</w:t>
      </w:r>
    </w:p>
    <w:p w14:paraId="3584C69C" w14:textId="77777777" w:rsidR="00C820B8" w:rsidRPr="0064652A" w:rsidRDefault="008D7FC6">
      <w:pPr>
        <w:rPr>
          <w:sz w:val="20"/>
          <w:szCs w:val="20"/>
        </w:rPr>
      </w:pPr>
      <w:r w:rsidRPr="0064652A">
        <w:rPr>
          <w:sz w:val="20"/>
          <w:szCs w:val="20"/>
        </w:rPr>
        <w:t> </w:t>
      </w:r>
    </w:p>
    <w:p w14:paraId="41C42092" w14:textId="77777777" w:rsidR="00C820B8" w:rsidRPr="0064652A" w:rsidRDefault="008D7FC6">
      <w:pPr>
        <w:ind w:firstLine="500"/>
        <w:rPr>
          <w:sz w:val="20"/>
          <w:szCs w:val="20"/>
        </w:rPr>
      </w:pPr>
      <w:r w:rsidRPr="0064652A">
        <w:rPr>
          <w:sz w:val="20"/>
          <w:szCs w:val="20"/>
          <w:shd w:val="clear" w:color="auto" w:fill="FFFFFF"/>
        </w:rPr>
        <w:t>From time to time, Emerson engages in business transactions with its controlling shareholder, Nimble Holdings Company Limited (“Nimble”), formerly known as The Grande Holdings Limited (“Grande”), and one or more of Nimble’s direct and indirect subsidiaries, or with entities related to the Company’s Chief Executive Officer. Set forth below is a summary of such transactions.</w:t>
      </w:r>
    </w:p>
    <w:p w14:paraId="1C2248F9" w14:textId="77777777" w:rsidR="00C820B8" w:rsidRPr="0064652A" w:rsidRDefault="008D7FC6">
      <w:pPr>
        <w:rPr>
          <w:sz w:val="20"/>
          <w:szCs w:val="20"/>
        </w:rPr>
      </w:pPr>
      <w:r w:rsidRPr="0064652A">
        <w:rPr>
          <w:sz w:val="20"/>
          <w:szCs w:val="20"/>
        </w:rPr>
        <w:t> </w:t>
      </w:r>
    </w:p>
    <w:p w14:paraId="6A563A51" w14:textId="77777777" w:rsidR="00C820B8" w:rsidRPr="0064652A" w:rsidRDefault="008D7FC6">
      <w:pPr>
        <w:jc w:val="center"/>
        <w:rPr>
          <w:sz w:val="20"/>
          <w:szCs w:val="20"/>
        </w:rPr>
      </w:pPr>
      <w:r w:rsidRPr="0064652A">
        <w:rPr>
          <w:b/>
          <w:bCs/>
          <w:i/>
          <w:iCs/>
          <w:sz w:val="20"/>
          <w:szCs w:val="20"/>
          <w:shd w:val="clear" w:color="auto" w:fill="FFFFFF"/>
        </w:rPr>
        <w:t>Controlling Shareholder</w:t>
      </w:r>
    </w:p>
    <w:p w14:paraId="090828AB" w14:textId="77777777" w:rsidR="00C820B8" w:rsidRPr="0064652A" w:rsidRDefault="008D7FC6">
      <w:pPr>
        <w:rPr>
          <w:sz w:val="20"/>
          <w:szCs w:val="20"/>
        </w:rPr>
      </w:pPr>
      <w:r w:rsidRPr="0064652A">
        <w:rPr>
          <w:sz w:val="20"/>
          <w:szCs w:val="20"/>
        </w:rPr>
        <w:t> </w:t>
      </w:r>
    </w:p>
    <w:p w14:paraId="190CE989" w14:textId="77777777" w:rsidR="00C820B8" w:rsidRPr="0064652A" w:rsidRDefault="008D7FC6">
      <w:pPr>
        <w:ind w:firstLine="500"/>
        <w:rPr>
          <w:sz w:val="20"/>
          <w:szCs w:val="20"/>
        </w:rPr>
      </w:pPr>
      <w:r w:rsidRPr="0064652A">
        <w:rPr>
          <w:sz w:val="20"/>
          <w:szCs w:val="20"/>
          <w:shd w:val="clear" w:color="auto" w:fill="FFFFFF"/>
        </w:rPr>
        <w:t xml:space="preserve">S&amp;T International Distribution Limited (“S&amp;T”), which is a wholly owned subsidiary of Grande N.A.K.S. Ltd., which is a wholly owned subsidiary of Nimble, collectively have, based on a Schedule 13D/A filed with the SEC on February 15, 2019, the shared power to vote and direct the disposition of 15,243,283 shares, or approximately 72.4%, of the Company’s outstanding common stock as of </w:t>
      </w:r>
      <w:r w:rsidRPr="0064652A">
        <w:rPr>
          <w:sz w:val="20"/>
          <w:szCs w:val="20"/>
        </w:rPr>
        <w:t>December 31, 2023</w:t>
      </w:r>
      <w:r w:rsidRPr="0064652A">
        <w:rPr>
          <w:sz w:val="20"/>
          <w:szCs w:val="20"/>
          <w:shd w:val="clear" w:color="auto" w:fill="FFFFFF"/>
        </w:rPr>
        <w:t>. Accordingly, the Company is a “controlled company” as defined in Section 801(a) of the NYSE American Company Guide.</w:t>
      </w:r>
    </w:p>
    <w:p w14:paraId="1F67F634" w14:textId="77777777" w:rsidR="00C820B8" w:rsidRPr="0064652A" w:rsidRDefault="008D7FC6">
      <w:pPr>
        <w:rPr>
          <w:sz w:val="20"/>
          <w:szCs w:val="20"/>
        </w:rPr>
      </w:pPr>
      <w:r w:rsidRPr="0064652A">
        <w:rPr>
          <w:sz w:val="20"/>
          <w:szCs w:val="20"/>
        </w:rPr>
        <w:t> </w:t>
      </w:r>
    </w:p>
    <w:p w14:paraId="725CDCAA" w14:textId="77777777" w:rsidR="00C820B8" w:rsidRPr="0064652A" w:rsidRDefault="008D7FC6">
      <w:pPr>
        <w:jc w:val="center"/>
        <w:rPr>
          <w:sz w:val="20"/>
          <w:szCs w:val="20"/>
        </w:rPr>
      </w:pPr>
      <w:r w:rsidRPr="0064652A">
        <w:rPr>
          <w:sz w:val="20"/>
          <w:szCs w:val="20"/>
        </w:rPr>
        <w:t>9</w:t>
      </w:r>
    </w:p>
    <w:p w14:paraId="6F8A534D"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28AAA065" w14:textId="77777777" w:rsidR="00C820B8" w:rsidRPr="0064652A" w:rsidRDefault="008D7FC6">
      <w:pPr>
        <w:rPr>
          <w:sz w:val="20"/>
          <w:szCs w:val="20"/>
        </w:rPr>
      </w:pPr>
      <w:r w:rsidRPr="0064652A">
        <w:rPr>
          <w:sz w:val="20"/>
          <w:szCs w:val="20"/>
        </w:rPr>
        <w:t> </w:t>
      </w:r>
    </w:p>
    <w:p w14:paraId="34D7FA10" w14:textId="77777777" w:rsidR="00C820B8" w:rsidRPr="0064652A" w:rsidRDefault="008D7FC6">
      <w:pPr>
        <w:jc w:val="center"/>
        <w:rPr>
          <w:sz w:val="20"/>
          <w:szCs w:val="20"/>
        </w:rPr>
      </w:pPr>
      <w:r w:rsidRPr="0064652A">
        <w:rPr>
          <w:b/>
          <w:bCs/>
          <w:i/>
          <w:iCs/>
          <w:sz w:val="20"/>
          <w:szCs w:val="20"/>
          <w:shd w:val="clear" w:color="auto" w:fill="FFFFFF"/>
        </w:rPr>
        <w:t>Related Party Transactions</w:t>
      </w:r>
    </w:p>
    <w:p w14:paraId="5CA11A91" w14:textId="77777777" w:rsidR="00C820B8" w:rsidRPr="0064652A" w:rsidRDefault="008D7FC6">
      <w:pPr>
        <w:rPr>
          <w:sz w:val="20"/>
          <w:szCs w:val="20"/>
        </w:rPr>
      </w:pPr>
      <w:r w:rsidRPr="0064652A">
        <w:rPr>
          <w:sz w:val="20"/>
          <w:szCs w:val="20"/>
        </w:rPr>
        <w:t> </w:t>
      </w:r>
    </w:p>
    <w:p w14:paraId="2B8515F4" w14:textId="77777777" w:rsidR="00C820B8" w:rsidRPr="0064652A" w:rsidRDefault="008D7FC6">
      <w:pPr>
        <w:rPr>
          <w:sz w:val="20"/>
          <w:szCs w:val="20"/>
        </w:rPr>
      </w:pPr>
      <w:r w:rsidRPr="0064652A">
        <w:rPr>
          <w:b/>
          <w:bCs/>
          <w:i/>
          <w:iCs/>
          <w:sz w:val="20"/>
          <w:szCs w:val="20"/>
          <w:u w:val="single"/>
          <w:shd w:val="clear" w:color="auto" w:fill="FFFFFF"/>
        </w:rPr>
        <w:t>Charges of rental and utility fees on office space in Hong Kong</w:t>
      </w:r>
    </w:p>
    <w:p w14:paraId="2BA7ECFC" w14:textId="77777777" w:rsidR="00C820B8" w:rsidRPr="0064652A" w:rsidRDefault="008D7FC6">
      <w:pPr>
        <w:rPr>
          <w:sz w:val="20"/>
          <w:szCs w:val="20"/>
        </w:rPr>
      </w:pPr>
      <w:r w:rsidRPr="0064652A">
        <w:rPr>
          <w:sz w:val="20"/>
          <w:szCs w:val="20"/>
        </w:rPr>
        <w:t> </w:t>
      </w:r>
    </w:p>
    <w:p w14:paraId="643B53FD" w14:textId="77777777" w:rsidR="00C820B8" w:rsidRPr="0064652A" w:rsidRDefault="008D7FC6">
      <w:pPr>
        <w:ind w:firstLine="500"/>
        <w:rPr>
          <w:sz w:val="20"/>
          <w:szCs w:val="20"/>
        </w:rPr>
      </w:pPr>
      <w:r w:rsidRPr="0064652A">
        <w:rPr>
          <w:sz w:val="20"/>
          <w:szCs w:val="20"/>
          <w:shd w:val="clear" w:color="auto" w:fill="FFFFFF"/>
        </w:rPr>
        <w:t xml:space="preserve">During the </w:t>
      </w:r>
      <w:bookmarkStart w:id="16" w:name="led288631F2022881662679626488"/>
      <w:r w:rsidRPr="0064652A">
        <w:rPr>
          <w:sz w:val="20"/>
          <w:szCs w:val="20"/>
        </w:rPr>
        <w:t>three and nine month periods ended December 31, 2023</w:t>
      </w:r>
      <w:r w:rsidRPr="0064652A">
        <w:rPr>
          <w:sz w:val="20"/>
          <w:szCs w:val="20"/>
          <w:shd w:val="clear" w:color="auto" w:fill="FFFFFF"/>
        </w:rPr>
        <w:t xml:space="preserve">, the Company was billed approximately $40,000 and $119,000, respectively, for rental and utility fees from Vigers Appraisal and Consulting Ltd (“VACL”), which is a company related to the Company’s Chairman of the Board of Directors. As of </w:t>
      </w:r>
      <w:r w:rsidRPr="0064652A">
        <w:rPr>
          <w:sz w:val="20"/>
          <w:szCs w:val="20"/>
        </w:rPr>
        <w:t>December 31, 2023</w:t>
      </w:r>
      <w:r w:rsidRPr="0064652A">
        <w:rPr>
          <w:sz w:val="20"/>
          <w:szCs w:val="20"/>
          <w:shd w:val="clear" w:color="auto" w:fill="FFFFFF"/>
        </w:rPr>
        <w:t xml:space="preserve"> the Company owed approximately $1,000 to VACL related to these charges.  </w:t>
      </w:r>
    </w:p>
    <w:p w14:paraId="531205F3" w14:textId="77777777" w:rsidR="00C820B8" w:rsidRPr="0064652A" w:rsidRDefault="008D7FC6">
      <w:pPr>
        <w:rPr>
          <w:sz w:val="20"/>
          <w:szCs w:val="20"/>
        </w:rPr>
      </w:pPr>
      <w:r w:rsidRPr="0064652A">
        <w:rPr>
          <w:sz w:val="20"/>
          <w:szCs w:val="20"/>
        </w:rPr>
        <w:t> </w:t>
      </w:r>
    </w:p>
    <w:p w14:paraId="757B0A79" w14:textId="77777777" w:rsidR="00C820B8" w:rsidRPr="0064652A" w:rsidRDefault="008D7FC6">
      <w:r w:rsidRPr="0064652A">
        <w:t> </w:t>
      </w:r>
    </w:p>
    <w:p w14:paraId="0C4DC3F0" w14:textId="77777777" w:rsidR="00C820B8" w:rsidRPr="0064652A" w:rsidRDefault="008D7FC6">
      <w:pPr>
        <w:rPr>
          <w:sz w:val="20"/>
          <w:szCs w:val="20"/>
        </w:rPr>
      </w:pPr>
      <w:r w:rsidRPr="0064652A">
        <w:rPr>
          <w:b/>
          <w:bCs/>
          <w:sz w:val="20"/>
          <w:szCs w:val="20"/>
          <w:shd w:val="clear" w:color="auto" w:fill="FFFFFF"/>
        </w:rPr>
        <w:t xml:space="preserve">NOTE 7 </w:t>
      </w:r>
      <w:r w:rsidRPr="0064652A">
        <w:rPr>
          <w:sz w:val="20"/>
          <w:szCs w:val="20"/>
          <w:shd w:val="clear" w:color="auto" w:fill="FFFFFF"/>
        </w:rPr>
        <w:t>—</w:t>
      </w:r>
      <w:r w:rsidRPr="0064652A">
        <w:rPr>
          <w:b/>
          <w:bCs/>
          <w:sz w:val="20"/>
          <w:szCs w:val="20"/>
          <w:shd w:val="clear" w:color="auto" w:fill="FFFFFF"/>
        </w:rPr>
        <w:t xml:space="preserve"> SHORT TERM DEPOSITS AND INVESTMENTS</w:t>
      </w:r>
    </w:p>
    <w:p w14:paraId="1E628AF5" w14:textId="77777777" w:rsidR="00C820B8" w:rsidRPr="0064652A" w:rsidRDefault="008D7FC6">
      <w:pPr>
        <w:rPr>
          <w:sz w:val="20"/>
          <w:szCs w:val="20"/>
        </w:rPr>
      </w:pPr>
      <w:r w:rsidRPr="0064652A">
        <w:rPr>
          <w:sz w:val="20"/>
          <w:szCs w:val="20"/>
        </w:rPr>
        <w:t> </w:t>
      </w:r>
    </w:p>
    <w:p w14:paraId="45799865" w14:textId="77777777" w:rsidR="00C820B8" w:rsidRPr="0064652A" w:rsidRDefault="008D7FC6">
      <w:pPr>
        <w:ind w:firstLine="500"/>
        <w:rPr>
          <w:sz w:val="20"/>
          <w:szCs w:val="20"/>
        </w:rPr>
      </w:pPr>
      <w:r w:rsidRPr="0064652A">
        <w:rPr>
          <w:sz w:val="20"/>
          <w:szCs w:val="20"/>
          <w:shd w:val="clear" w:color="auto" w:fill="FFFFFF"/>
        </w:rPr>
        <w:t xml:space="preserve">As of </w:t>
      </w:r>
      <w:r w:rsidRPr="0064652A">
        <w:rPr>
          <w:sz w:val="20"/>
          <w:szCs w:val="20"/>
        </w:rPr>
        <w:t>December 31, 2023</w:t>
      </w:r>
      <w:r w:rsidRPr="0064652A">
        <w:rPr>
          <w:sz w:val="20"/>
          <w:szCs w:val="20"/>
          <w:shd w:val="clear" w:color="auto" w:fill="FFFFFF"/>
        </w:rPr>
        <w:t xml:space="preserve"> and </w:t>
      </w:r>
      <w:r w:rsidRPr="0064652A">
        <w:rPr>
          <w:sz w:val="20"/>
          <w:szCs w:val="20"/>
        </w:rPr>
        <w:t>March 31, 2023</w:t>
      </w:r>
      <w:r w:rsidRPr="0064652A">
        <w:rPr>
          <w:sz w:val="20"/>
          <w:szCs w:val="20"/>
          <w:shd w:val="clear" w:color="auto" w:fill="FFFFFF"/>
        </w:rPr>
        <w:t xml:space="preserve">, the Company held $2.7 million and $23.1 million, respectively, in term deposits. Such term deposits had maturity dates of 90 days or less and, as a result, were classified as cash equivalents. As of </w:t>
      </w:r>
      <w:r w:rsidRPr="0064652A">
        <w:rPr>
          <w:sz w:val="20"/>
          <w:szCs w:val="20"/>
        </w:rPr>
        <w:t>December 31, 2023</w:t>
      </w:r>
      <w:r w:rsidRPr="0064652A">
        <w:rPr>
          <w:sz w:val="20"/>
          <w:szCs w:val="20"/>
          <w:shd w:val="clear" w:color="auto" w:fill="FFFFFF"/>
        </w:rPr>
        <w:t xml:space="preserve"> and </w:t>
      </w:r>
      <w:r w:rsidRPr="0064652A">
        <w:rPr>
          <w:sz w:val="20"/>
          <w:szCs w:val="20"/>
        </w:rPr>
        <w:t>March 31, 2023</w:t>
      </w:r>
      <w:r w:rsidRPr="0064652A">
        <w:rPr>
          <w:sz w:val="20"/>
          <w:szCs w:val="20"/>
          <w:shd w:val="clear" w:color="auto" w:fill="FFFFFF"/>
        </w:rPr>
        <w:t>, the Company held $18.5 million and nil, respectively, in short term investments which had maturity dates greater than 90 days. </w:t>
      </w:r>
    </w:p>
    <w:p w14:paraId="64D827CA" w14:textId="77777777" w:rsidR="00C820B8" w:rsidRPr="0064652A" w:rsidRDefault="008D7FC6">
      <w:pPr>
        <w:rPr>
          <w:sz w:val="20"/>
          <w:szCs w:val="20"/>
        </w:rPr>
      </w:pPr>
      <w:r w:rsidRPr="0064652A">
        <w:rPr>
          <w:sz w:val="20"/>
          <w:szCs w:val="20"/>
        </w:rPr>
        <w:t> </w:t>
      </w:r>
    </w:p>
    <w:p w14:paraId="537B6D10" w14:textId="77777777" w:rsidR="00C820B8" w:rsidRPr="0064652A" w:rsidRDefault="008D7FC6">
      <w:r w:rsidRPr="0064652A">
        <w:t> </w:t>
      </w:r>
    </w:p>
    <w:p w14:paraId="4113E23E" w14:textId="77777777" w:rsidR="00C820B8" w:rsidRPr="0064652A" w:rsidRDefault="008D7FC6">
      <w:pPr>
        <w:rPr>
          <w:sz w:val="20"/>
          <w:szCs w:val="20"/>
        </w:rPr>
      </w:pPr>
      <w:r w:rsidRPr="0064652A">
        <w:rPr>
          <w:b/>
          <w:bCs/>
          <w:sz w:val="20"/>
          <w:szCs w:val="20"/>
          <w:shd w:val="clear" w:color="auto" w:fill="FFFFFF"/>
        </w:rPr>
        <w:t xml:space="preserve">NOTE 8 </w:t>
      </w:r>
      <w:r w:rsidRPr="0064652A">
        <w:rPr>
          <w:sz w:val="20"/>
          <w:szCs w:val="20"/>
          <w:shd w:val="clear" w:color="auto" w:fill="FFFFFF"/>
        </w:rPr>
        <w:t>—</w:t>
      </w:r>
      <w:r w:rsidRPr="0064652A">
        <w:rPr>
          <w:b/>
          <w:bCs/>
          <w:sz w:val="20"/>
          <w:szCs w:val="20"/>
          <w:shd w:val="clear" w:color="auto" w:fill="FFFFFF"/>
        </w:rPr>
        <w:t xml:space="preserve"> CONCENTRATION RISK</w:t>
      </w:r>
    </w:p>
    <w:p w14:paraId="32DB3FCA" w14:textId="77777777" w:rsidR="00C820B8" w:rsidRPr="0064652A" w:rsidRDefault="008D7FC6">
      <w:pPr>
        <w:rPr>
          <w:sz w:val="20"/>
          <w:szCs w:val="20"/>
        </w:rPr>
      </w:pPr>
      <w:r w:rsidRPr="0064652A">
        <w:rPr>
          <w:sz w:val="20"/>
          <w:szCs w:val="20"/>
        </w:rPr>
        <w:t> </w:t>
      </w:r>
    </w:p>
    <w:p w14:paraId="202AE501" w14:textId="77777777" w:rsidR="00C820B8" w:rsidRPr="0064652A" w:rsidRDefault="008D7FC6">
      <w:pPr>
        <w:rPr>
          <w:sz w:val="20"/>
          <w:szCs w:val="20"/>
        </w:rPr>
      </w:pPr>
      <w:r w:rsidRPr="0064652A">
        <w:rPr>
          <w:b/>
          <w:bCs/>
          <w:i/>
          <w:iCs/>
          <w:sz w:val="20"/>
          <w:szCs w:val="20"/>
          <w:shd w:val="clear" w:color="auto" w:fill="FFFFFF"/>
        </w:rPr>
        <w:t xml:space="preserve">Customer Concentration </w:t>
      </w:r>
    </w:p>
    <w:p w14:paraId="28A008D1" w14:textId="77777777" w:rsidR="00C820B8" w:rsidRPr="0064652A" w:rsidRDefault="008D7FC6">
      <w:pPr>
        <w:rPr>
          <w:sz w:val="20"/>
          <w:szCs w:val="20"/>
        </w:rPr>
      </w:pPr>
      <w:r w:rsidRPr="0064652A">
        <w:rPr>
          <w:sz w:val="20"/>
          <w:szCs w:val="20"/>
        </w:rPr>
        <w:t> </w:t>
      </w:r>
    </w:p>
    <w:p w14:paraId="1E7F0F45" w14:textId="77777777" w:rsidR="00C820B8" w:rsidRPr="0064652A" w:rsidRDefault="008D7FC6">
      <w:pPr>
        <w:ind w:firstLine="500"/>
        <w:rPr>
          <w:sz w:val="20"/>
          <w:szCs w:val="20"/>
        </w:rPr>
      </w:pPr>
      <w:r w:rsidRPr="0064652A">
        <w:rPr>
          <w:sz w:val="20"/>
          <w:szCs w:val="20"/>
          <w:shd w:val="clear" w:color="auto" w:fill="FFFFFF"/>
        </w:rPr>
        <w:t xml:space="preserve">For the three month period ended </w:t>
      </w:r>
      <w:r w:rsidRPr="0064652A">
        <w:rPr>
          <w:sz w:val="20"/>
          <w:szCs w:val="20"/>
        </w:rPr>
        <w:t>December 31, 2023</w:t>
      </w:r>
      <w:r w:rsidRPr="0064652A">
        <w:rPr>
          <w:sz w:val="20"/>
          <w:szCs w:val="20"/>
          <w:shd w:val="clear" w:color="auto" w:fill="FFFFFF"/>
        </w:rPr>
        <w:t>, the Company’s two largest customers accounted for approximately 84% of the Company’s net revenues, of which Walmart accounted for approximately 65% and Amazon accounted for approximately 19%. No other customer accounted for greater than 10% of the Company's net revenues during the period. </w:t>
      </w:r>
    </w:p>
    <w:p w14:paraId="0B799FA3" w14:textId="77777777" w:rsidR="00C820B8" w:rsidRPr="0064652A" w:rsidRDefault="008D7FC6">
      <w:pPr>
        <w:ind w:firstLine="500"/>
        <w:rPr>
          <w:sz w:val="20"/>
          <w:szCs w:val="20"/>
        </w:rPr>
      </w:pPr>
      <w:r w:rsidRPr="0064652A">
        <w:rPr>
          <w:sz w:val="20"/>
          <w:szCs w:val="20"/>
        </w:rPr>
        <w:t> </w:t>
      </w:r>
    </w:p>
    <w:p w14:paraId="53EDF453" w14:textId="77777777" w:rsidR="00C820B8" w:rsidRPr="0064652A" w:rsidRDefault="008D7FC6">
      <w:pPr>
        <w:ind w:firstLine="500"/>
        <w:rPr>
          <w:sz w:val="20"/>
          <w:szCs w:val="20"/>
        </w:rPr>
      </w:pPr>
      <w:r w:rsidRPr="0064652A">
        <w:rPr>
          <w:sz w:val="20"/>
          <w:szCs w:val="20"/>
          <w:shd w:val="clear" w:color="auto" w:fill="FFFFFF"/>
        </w:rPr>
        <w:t xml:space="preserve">For the nine month period ended </w:t>
      </w:r>
      <w:r w:rsidRPr="0064652A">
        <w:rPr>
          <w:sz w:val="20"/>
          <w:szCs w:val="20"/>
        </w:rPr>
        <w:t>December 31, 2023</w:t>
      </w:r>
      <w:r w:rsidRPr="0064652A">
        <w:rPr>
          <w:sz w:val="20"/>
          <w:szCs w:val="20"/>
          <w:shd w:val="clear" w:color="auto" w:fill="FFFFFF"/>
        </w:rPr>
        <w:t>, the Company’s three largest customers accounted for approximately 89% of the Company’s net revenues, of which Walmart accounted for approximately 58%, Amazon accounted for approximately 21% and Fred Meyer accounted for approximately 10%. No other customer accounted for greater than 10% of the Company's net revenues during the period.</w:t>
      </w:r>
    </w:p>
    <w:p w14:paraId="6AC2F243" w14:textId="77777777" w:rsidR="00C820B8" w:rsidRPr="0064652A" w:rsidRDefault="008D7FC6">
      <w:pPr>
        <w:ind w:firstLine="500"/>
        <w:rPr>
          <w:sz w:val="20"/>
          <w:szCs w:val="20"/>
        </w:rPr>
      </w:pPr>
      <w:r w:rsidRPr="0064652A">
        <w:rPr>
          <w:sz w:val="20"/>
          <w:szCs w:val="20"/>
        </w:rPr>
        <w:t> </w:t>
      </w:r>
    </w:p>
    <w:p w14:paraId="53D4D393" w14:textId="77777777" w:rsidR="00C820B8" w:rsidRPr="0064652A" w:rsidRDefault="008D7FC6">
      <w:pPr>
        <w:ind w:firstLine="500"/>
        <w:rPr>
          <w:sz w:val="20"/>
          <w:szCs w:val="20"/>
        </w:rPr>
      </w:pPr>
      <w:r w:rsidRPr="0064652A">
        <w:rPr>
          <w:sz w:val="20"/>
          <w:szCs w:val="20"/>
          <w:shd w:val="clear" w:color="auto" w:fill="FFFFFF"/>
        </w:rPr>
        <w:t xml:space="preserve">For the three month period ended </w:t>
      </w:r>
      <w:bookmarkStart w:id="17" w:name="led288631F2022881662679673543"/>
      <w:r w:rsidRPr="0064652A">
        <w:rPr>
          <w:sz w:val="20"/>
          <w:szCs w:val="20"/>
        </w:rPr>
        <w:t>December 31, 2022</w:t>
      </w:r>
      <w:r w:rsidRPr="0064652A">
        <w:rPr>
          <w:sz w:val="20"/>
          <w:szCs w:val="20"/>
          <w:shd w:val="clear" w:color="auto" w:fill="FFFFFF"/>
        </w:rPr>
        <w:t>, the Company’s two largest customers accounted for approximately 84% of the Company’s net revenues, of which Walmart accounted for approximately 50% and Amazon accounted for approximately 34%. No other customer accounted for greater than 10% of the Company's net revenues during the period.</w:t>
      </w:r>
    </w:p>
    <w:p w14:paraId="26C58313" w14:textId="77777777" w:rsidR="00C820B8" w:rsidRPr="0064652A" w:rsidRDefault="008D7FC6">
      <w:pPr>
        <w:ind w:firstLine="500"/>
        <w:rPr>
          <w:sz w:val="20"/>
          <w:szCs w:val="20"/>
        </w:rPr>
      </w:pPr>
      <w:r w:rsidRPr="0064652A">
        <w:rPr>
          <w:sz w:val="20"/>
          <w:szCs w:val="20"/>
        </w:rPr>
        <w:t> </w:t>
      </w:r>
    </w:p>
    <w:p w14:paraId="02422D1F" w14:textId="77777777" w:rsidR="00C820B8" w:rsidRPr="0064652A" w:rsidRDefault="008D7FC6">
      <w:pPr>
        <w:ind w:firstLine="500"/>
        <w:rPr>
          <w:sz w:val="20"/>
          <w:szCs w:val="20"/>
        </w:rPr>
      </w:pPr>
      <w:r w:rsidRPr="0064652A">
        <w:rPr>
          <w:sz w:val="20"/>
          <w:szCs w:val="20"/>
          <w:shd w:val="clear" w:color="auto" w:fill="FFFFFF"/>
        </w:rPr>
        <w:t xml:space="preserve">For the nine month period ended </w:t>
      </w:r>
      <w:r w:rsidRPr="0064652A">
        <w:rPr>
          <w:sz w:val="20"/>
          <w:szCs w:val="20"/>
        </w:rPr>
        <w:t>December 31, 2022</w:t>
      </w:r>
      <w:r w:rsidRPr="0064652A">
        <w:rPr>
          <w:sz w:val="20"/>
          <w:szCs w:val="20"/>
          <w:shd w:val="clear" w:color="auto" w:fill="FFFFFF"/>
        </w:rPr>
        <w:t>, the Company’s three largest customers accounted for approximately 74% of the Company’s net revenues, of which Walmart accounted for approximately 42%, Amazon accounted for approximately 21% and Fred Meyer accounted for approximately 11%. No other customer accounted for greater than 10% of the Company's net revenues during the period.</w:t>
      </w:r>
    </w:p>
    <w:p w14:paraId="3FC9C119" w14:textId="77777777" w:rsidR="00C820B8" w:rsidRPr="0064652A" w:rsidRDefault="008D7FC6">
      <w:pPr>
        <w:ind w:firstLine="500"/>
        <w:rPr>
          <w:sz w:val="20"/>
          <w:szCs w:val="20"/>
        </w:rPr>
      </w:pPr>
      <w:r w:rsidRPr="0064652A">
        <w:rPr>
          <w:sz w:val="20"/>
          <w:szCs w:val="20"/>
        </w:rPr>
        <w:t> </w:t>
      </w:r>
    </w:p>
    <w:p w14:paraId="3A01B6D3" w14:textId="77777777" w:rsidR="00C820B8" w:rsidRPr="0064652A" w:rsidRDefault="008D7FC6">
      <w:pPr>
        <w:ind w:firstLine="500"/>
        <w:rPr>
          <w:sz w:val="20"/>
          <w:szCs w:val="20"/>
        </w:rPr>
      </w:pPr>
      <w:r w:rsidRPr="0064652A">
        <w:rPr>
          <w:sz w:val="20"/>
          <w:szCs w:val="20"/>
          <w:shd w:val="clear" w:color="auto" w:fill="FFFFFF"/>
        </w:rPr>
        <w:t>A significant decline in net sales to any of the Company’s key customers would have a material adverse effect on the Company’s business, financial condition and results of operation.             </w:t>
      </w:r>
    </w:p>
    <w:p w14:paraId="6ECF85DB" w14:textId="77777777" w:rsidR="00C820B8" w:rsidRPr="0064652A" w:rsidRDefault="008D7FC6">
      <w:pPr>
        <w:rPr>
          <w:sz w:val="20"/>
          <w:szCs w:val="20"/>
        </w:rPr>
      </w:pPr>
      <w:r w:rsidRPr="0064652A">
        <w:rPr>
          <w:sz w:val="20"/>
          <w:szCs w:val="20"/>
        </w:rPr>
        <w:t> </w:t>
      </w:r>
    </w:p>
    <w:p w14:paraId="2A4F0E28" w14:textId="77777777" w:rsidR="00C820B8" w:rsidRPr="0064652A" w:rsidRDefault="008D7FC6">
      <w:pPr>
        <w:rPr>
          <w:sz w:val="20"/>
          <w:szCs w:val="20"/>
        </w:rPr>
      </w:pPr>
      <w:r w:rsidRPr="0064652A">
        <w:rPr>
          <w:b/>
          <w:bCs/>
          <w:i/>
          <w:iCs/>
          <w:sz w:val="20"/>
          <w:szCs w:val="20"/>
          <w:shd w:val="clear" w:color="auto" w:fill="FFFFFF"/>
        </w:rPr>
        <w:t xml:space="preserve">Product Concentration </w:t>
      </w:r>
    </w:p>
    <w:p w14:paraId="35DEE814" w14:textId="77777777" w:rsidR="00C820B8" w:rsidRPr="0064652A" w:rsidRDefault="008D7FC6">
      <w:pPr>
        <w:rPr>
          <w:sz w:val="20"/>
          <w:szCs w:val="20"/>
        </w:rPr>
      </w:pPr>
      <w:r w:rsidRPr="0064652A">
        <w:rPr>
          <w:sz w:val="20"/>
          <w:szCs w:val="20"/>
        </w:rPr>
        <w:t> </w:t>
      </w:r>
    </w:p>
    <w:p w14:paraId="437A0F0C" w14:textId="77777777" w:rsidR="00C820B8" w:rsidRPr="0064652A" w:rsidRDefault="008D7FC6">
      <w:pPr>
        <w:ind w:firstLine="500"/>
        <w:rPr>
          <w:sz w:val="20"/>
          <w:szCs w:val="20"/>
        </w:rPr>
      </w:pPr>
      <w:r w:rsidRPr="0064652A">
        <w:rPr>
          <w:sz w:val="20"/>
          <w:szCs w:val="20"/>
          <w:shd w:val="clear" w:color="auto" w:fill="FFFFFF"/>
        </w:rPr>
        <w:t xml:space="preserve">For the </w:t>
      </w:r>
      <w:r w:rsidRPr="0064652A">
        <w:rPr>
          <w:sz w:val="20"/>
          <w:szCs w:val="20"/>
        </w:rPr>
        <w:t>three and nine month periods ended December 31, 2023</w:t>
      </w:r>
      <w:bookmarkEnd w:id="16"/>
      <w:r w:rsidRPr="0064652A">
        <w:rPr>
          <w:sz w:val="20"/>
          <w:szCs w:val="20"/>
          <w:shd w:val="clear" w:color="auto" w:fill="FFFFFF"/>
        </w:rPr>
        <w:t>, the Company’s gross product sales included microwave ovens, which generated approximately 22% and 28%, respectively, of the Company’s gross product sales and audio products, which generated approximately 76% and 70%, respectively, of the Company’s gross product sales. No other products accounted for greater than 10% of the Company's gross product sales during the period.</w:t>
      </w:r>
    </w:p>
    <w:p w14:paraId="3CA019A6" w14:textId="77777777" w:rsidR="00C820B8" w:rsidRPr="0064652A" w:rsidRDefault="008D7FC6">
      <w:pPr>
        <w:rPr>
          <w:sz w:val="20"/>
          <w:szCs w:val="20"/>
        </w:rPr>
      </w:pPr>
      <w:r w:rsidRPr="0064652A">
        <w:rPr>
          <w:sz w:val="20"/>
          <w:szCs w:val="20"/>
        </w:rPr>
        <w:t> </w:t>
      </w:r>
    </w:p>
    <w:p w14:paraId="6504CA6C" w14:textId="77777777" w:rsidR="00C820B8" w:rsidRPr="0064652A" w:rsidRDefault="008D7FC6">
      <w:pPr>
        <w:ind w:firstLine="500"/>
        <w:rPr>
          <w:sz w:val="20"/>
          <w:szCs w:val="20"/>
        </w:rPr>
      </w:pPr>
      <w:r w:rsidRPr="0064652A">
        <w:rPr>
          <w:sz w:val="20"/>
          <w:szCs w:val="20"/>
          <w:shd w:val="clear" w:color="auto" w:fill="FFFFFF"/>
        </w:rPr>
        <w:t xml:space="preserve">For the </w:t>
      </w:r>
      <w:bookmarkStart w:id="18" w:name="led288631F2022881662679617264"/>
      <w:r w:rsidRPr="0064652A">
        <w:rPr>
          <w:sz w:val="20"/>
          <w:szCs w:val="20"/>
        </w:rPr>
        <w:t>three and nine month periods ended December 31, 2022</w:t>
      </w:r>
      <w:bookmarkEnd w:id="18"/>
      <w:r w:rsidRPr="0064652A">
        <w:rPr>
          <w:sz w:val="20"/>
          <w:szCs w:val="20"/>
          <w:shd w:val="clear" w:color="auto" w:fill="FFFFFF"/>
        </w:rPr>
        <w:t>, the Company’s gross product sales included microwave ovens, which generated approximately 9% and 24%, respectively, of the Company’s gross product sales and audio products, which generated approximately 91% and 75%, respectively, of the Company’s gross product sales. No other products accounted for greater than 10% of the Company's gross product sales during the period.    </w:t>
      </w:r>
    </w:p>
    <w:p w14:paraId="03D67844" w14:textId="77777777" w:rsidR="00C820B8" w:rsidRPr="0064652A" w:rsidRDefault="008D7FC6">
      <w:pPr>
        <w:rPr>
          <w:sz w:val="20"/>
          <w:szCs w:val="20"/>
        </w:rPr>
      </w:pPr>
      <w:r w:rsidRPr="0064652A">
        <w:rPr>
          <w:sz w:val="20"/>
          <w:szCs w:val="20"/>
        </w:rPr>
        <w:t> </w:t>
      </w:r>
    </w:p>
    <w:p w14:paraId="55D072D0" w14:textId="77777777" w:rsidR="00C820B8" w:rsidRPr="0064652A" w:rsidRDefault="008D7FC6">
      <w:pPr>
        <w:jc w:val="center"/>
        <w:rPr>
          <w:sz w:val="20"/>
          <w:szCs w:val="20"/>
        </w:rPr>
      </w:pPr>
      <w:r w:rsidRPr="0064652A">
        <w:rPr>
          <w:sz w:val="20"/>
          <w:szCs w:val="20"/>
        </w:rPr>
        <w:t>10</w:t>
      </w:r>
    </w:p>
    <w:p w14:paraId="38D1728D"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56244EA8" w14:textId="77777777" w:rsidR="00C820B8" w:rsidRPr="0064652A" w:rsidRDefault="008D7FC6">
      <w:pPr>
        <w:rPr>
          <w:sz w:val="20"/>
          <w:szCs w:val="20"/>
        </w:rPr>
      </w:pPr>
      <w:r w:rsidRPr="0064652A">
        <w:rPr>
          <w:sz w:val="20"/>
          <w:szCs w:val="20"/>
        </w:rPr>
        <w:t>  </w:t>
      </w:r>
      <w:r w:rsidRPr="0064652A">
        <w:rPr>
          <w:b/>
          <w:bCs/>
          <w:i/>
          <w:iCs/>
          <w:sz w:val="20"/>
          <w:szCs w:val="20"/>
          <w:shd w:val="clear" w:color="auto" w:fill="FFFFFF"/>
        </w:rPr>
        <w:t>Concentrations of Credit Risk</w:t>
      </w:r>
    </w:p>
    <w:p w14:paraId="49EA6F27" w14:textId="77777777" w:rsidR="00C820B8" w:rsidRPr="0064652A" w:rsidRDefault="008D7FC6">
      <w:pPr>
        <w:rPr>
          <w:sz w:val="20"/>
          <w:szCs w:val="20"/>
        </w:rPr>
      </w:pPr>
      <w:r w:rsidRPr="0064652A">
        <w:rPr>
          <w:sz w:val="20"/>
          <w:szCs w:val="20"/>
        </w:rPr>
        <w:t> </w:t>
      </w:r>
    </w:p>
    <w:p w14:paraId="41B70921" w14:textId="77777777" w:rsidR="00C820B8" w:rsidRPr="0064652A" w:rsidRDefault="008D7FC6">
      <w:pPr>
        <w:ind w:firstLine="500"/>
        <w:rPr>
          <w:sz w:val="20"/>
          <w:szCs w:val="20"/>
        </w:rPr>
      </w:pPr>
      <w:r w:rsidRPr="0064652A">
        <w:rPr>
          <w:sz w:val="20"/>
          <w:szCs w:val="20"/>
          <w:shd w:val="clear" w:color="auto" w:fill="FFFFFF"/>
        </w:rPr>
        <w:t xml:space="preserve">As a percentage of the Company’s total trade accounts receivable, net of specific reserves, the Company’s top three customers accounted for approximately 48%, 20% and 15%, respectively, as of </w:t>
      </w:r>
      <w:r w:rsidRPr="0064652A">
        <w:rPr>
          <w:sz w:val="20"/>
          <w:szCs w:val="20"/>
        </w:rPr>
        <w:t>December 31, 2023</w:t>
      </w:r>
      <w:r w:rsidRPr="0064652A">
        <w:rPr>
          <w:sz w:val="20"/>
          <w:szCs w:val="20"/>
          <w:shd w:val="clear" w:color="auto" w:fill="FFFFFF"/>
        </w:rPr>
        <w:t xml:space="preserve">. No other customers accounted for greater than 10% of the Company's total trade accounts receivable, net of specific reserves, as of such date. As a percentage of the Company’s total trade accounts receivable, net of specific reserves, the Company’s top three customers accounted for approximately 43%, 35% and 11%, respectively, as of </w:t>
      </w:r>
      <w:r w:rsidRPr="0064652A">
        <w:rPr>
          <w:sz w:val="20"/>
          <w:szCs w:val="20"/>
        </w:rPr>
        <w:t>March 31, 2023</w:t>
      </w:r>
      <w:r w:rsidRPr="0064652A">
        <w:rPr>
          <w:sz w:val="20"/>
          <w:szCs w:val="20"/>
          <w:shd w:val="clear" w:color="auto" w:fill="FFFFFF"/>
        </w:rPr>
        <w:t>. No other customers accounted for greater than 10% of the Company's total trade accounts receivable, net of specific reserves, as of such date. The Company periodically performs credit evaluations of its customers but generally does not require collateral, and the Company provides for any anticipated credit losses in the financial statements based upon management’s estimates and ongoing reviews of recorded allowances. Due to the high concentration of the Company’s net trade accounts receivables among just two customers, any significant failure by one of these customers to pay the Company the amounts owing against these receivables would result in a material adverse effect on the Company’s business, financial condition and results of operations.</w:t>
      </w:r>
    </w:p>
    <w:p w14:paraId="25E6084A" w14:textId="77777777" w:rsidR="00C820B8" w:rsidRPr="0064652A" w:rsidRDefault="008D7FC6">
      <w:pPr>
        <w:rPr>
          <w:sz w:val="20"/>
          <w:szCs w:val="20"/>
        </w:rPr>
      </w:pPr>
      <w:r w:rsidRPr="0064652A">
        <w:rPr>
          <w:sz w:val="20"/>
          <w:szCs w:val="20"/>
        </w:rPr>
        <w:t> </w:t>
      </w:r>
    </w:p>
    <w:p w14:paraId="04D8B56F" w14:textId="77777777" w:rsidR="00C820B8" w:rsidRPr="0064652A" w:rsidRDefault="008D7FC6">
      <w:pPr>
        <w:ind w:firstLine="500"/>
        <w:rPr>
          <w:sz w:val="20"/>
          <w:szCs w:val="20"/>
        </w:rPr>
      </w:pPr>
      <w:r w:rsidRPr="0064652A">
        <w:rPr>
          <w:sz w:val="20"/>
          <w:szCs w:val="20"/>
          <w:shd w:val="clear" w:color="auto" w:fill="FFFFFF"/>
        </w:rPr>
        <w:t xml:space="preserve">The Company maintains its cash accounts with major U.S. and foreign financial institutions. The Company’s cash and restricted cash balances on deposit in the U.S. as of </w:t>
      </w:r>
      <w:r w:rsidRPr="0064652A">
        <w:rPr>
          <w:sz w:val="20"/>
          <w:szCs w:val="20"/>
        </w:rPr>
        <w:t>December 31, 2023</w:t>
      </w:r>
      <w:r w:rsidRPr="0064652A">
        <w:rPr>
          <w:sz w:val="20"/>
          <w:szCs w:val="20"/>
          <w:shd w:val="clear" w:color="auto" w:fill="FFFFFF"/>
        </w:rPr>
        <w:t xml:space="preserve"> and </w:t>
      </w:r>
      <w:r w:rsidRPr="0064652A">
        <w:rPr>
          <w:sz w:val="20"/>
          <w:szCs w:val="20"/>
        </w:rPr>
        <w:t>March 31, 2023</w:t>
      </w:r>
      <w:r w:rsidRPr="0064652A">
        <w:rPr>
          <w:sz w:val="20"/>
          <w:szCs w:val="20"/>
          <w:shd w:val="clear" w:color="auto" w:fill="FFFFFF"/>
        </w:rPr>
        <w:t xml:space="preserve"> were insured by the Federal Deposit Insurance Corporation (“FDIC”) up to $250,000 per qualifying bank account in accordance with FDIC rules. The Company’s cash, cash equivalents and restricted cash balances in excess of these FDIC-insured limits were approximately $3.4 million and approximately $25.0 million at </w:t>
      </w:r>
      <w:r w:rsidRPr="0064652A">
        <w:rPr>
          <w:sz w:val="20"/>
          <w:szCs w:val="20"/>
        </w:rPr>
        <w:t>December 31, 2023</w:t>
      </w:r>
      <w:r w:rsidRPr="0064652A">
        <w:rPr>
          <w:sz w:val="20"/>
          <w:szCs w:val="20"/>
          <w:shd w:val="clear" w:color="auto" w:fill="FFFFFF"/>
        </w:rPr>
        <w:t xml:space="preserve"> and </w:t>
      </w:r>
      <w:r w:rsidRPr="0064652A">
        <w:rPr>
          <w:sz w:val="20"/>
          <w:szCs w:val="20"/>
        </w:rPr>
        <w:t>March 31, 2023</w:t>
      </w:r>
      <w:r w:rsidRPr="0064652A">
        <w:rPr>
          <w:sz w:val="20"/>
          <w:szCs w:val="20"/>
          <w:shd w:val="clear" w:color="auto" w:fill="FFFFFF"/>
        </w:rPr>
        <w:t>, respectively.</w:t>
      </w:r>
    </w:p>
    <w:p w14:paraId="08B51FCC" w14:textId="77777777" w:rsidR="00C820B8" w:rsidRPr="0064652A" w:rsidRDefault="008D7FC6">
      <w:pPr>
        <w:rPr>
          <w:sz w:val="20"/>
          <w:szCs w:val="20"/>
        </w:rPr>
      </w:pPr>
      <w:r w:rsidRPr="0064652A">
        <w:rPr>
          <w:sz w:val="20"/>
          <w:szCs w:val="20"/>
        </w:rPr>
        <w:t> </w:t>
      </w:r>
    </w:p>
    <w:p w14:paraId="279178A1" w14:textId="77777777" w:rsidR="00C820B8" w:rsidRPr="0064652A" w:rsidRDefault="008D7FC6">
      <w:pPr>
        <w:rPr>
          <w:sz w:val="20"/>
          <w:szCs w:val="20"/>
        </w:rPr>
      </w:pPr>
      <w:r w:rsidRPr="0064652A">
        <w:rPr>
          <w:b/>
          <w:bCs/>
          <w:i/>
          <w:iCs/>
          <w:sz w:val="20"/>
          <w:szCs w:val="20"/>
          <w:shd w:val="clear" w:color="auto" w:fill="FFFFFF"/>
        </w:rPr>
        <w:t xml:space="preserve">Supplier Concentration </w:t>
      </w:r>
    </w:p>
    <w:p w14:paraId="12CD6FB7" w14:textId="77777777" w:rsidR="00C820B8" w:rsidRPr="0064652A" w:rsidRDefault="008D7FC6">
      <w:pPr>
        <w:rPr>
          <w:sz w:val="20"/>
          <w:szCs w:val="20"/>
        </w:rPr>
      </w:pPr>
      <w:r w:rsidRPr="0064652A">
        <w:rPr>
          <w:sz w:val="20"/>
          <w:szCs w:val="20"/>
        </w:rPr>
        <w:t> </w:t>
      </w:r>
    </w:p>
    <w:p w14:paraId="6E436DEF" w14:textId="77777777" w:rsidR="00C820B8" w:rsidRPr="0064652A" w:rsidRDefault="008D7FC6">
      <w:pPr>
        <w:ind w:firstLine="500"/>
        <w:rPr>
          <w:sz w:val="20"/>
          <w:szCs w:val="20"/>
        </w:rPr>
      </w:pPr>
      <w:r w:rsidRPr="0064652A">
        <w:rPr>
          <w:sz w:val="20"/>
          <w:szCs w:val="20"/>
          <w:shd w:val="clear" w:color="auto" w:fill="FFFFFF"/>
        </w:rPr>
        <w:t xml:space="preserve">During the three month period ended </w:t>
      </w:r>
      <w:r w:rsidRPr="0064652A">
        <w:rPr>
          <w:sz w:val="20"/>
          <w:szCs w:val="20"/>
        </w:rPr>
        <w:t>December 31, 2023</w:t>
      </w:r>
      <w:r w:rsidRPr="0064652A">
        <w:rPr>
          <w:sz w:val="20"/>
          <w:szCs w:val="20"/>
          <w:shd w:val="clear" w:color="auto" w:fill="FFFFFF"/>
        </w:rPr>
        <w:t xml:space="preserve">, the Company procured approximately 86% of its products for resale from its three largest factory suppliers, of which approximately 37% was supplied by its largest supplier and approximately 28% and 21%, respectively, by the other two suppliers. During the three month period ended </w:t>
      </w:r>
      <w:r w:rsidRPr="0064652A">
        <w:rPr>
          <w:sz w:val="20"/>
          <w:szCs w:val="20"/>
        </w:rPr>
        <w:t>December 31, 2022</w:t>
      </w:r>
      <w:r w:rsidRPr="0064652A">
        <w:rPr>
          <w:sz w:val="20"/>
          <w:szCs w:val="20"/>
          <w:shd w:val="clear" w:color="auto" w:fill="FFFFFF"/>
        </w:rPr>
        <w:t xml:space="preserve">, the Company procured approximately 95% of its products for resale from its two largest factory suppliers, of which approximately 74% was supplied by its largest supplier and approximately 21% by another supplier. No other suppliers accounted for greater than 10% for either three month periods ended </w:t>
      </w:r>
      <w:r w:rsidRPr="0064652A">
        <w:rPr>
          <w:sz w:val="20"/>
          <w:szCs w:val="20"/>
        </w:rPr>
        <w:t>December 31, 2023</w:t>
      </w:r>
      <w:r w:rsidRPr="0064652A">
        <w:rPr>
          <w:sz w:val="20"/>
          <w:szCs w:val="20"/>
          <w:shd w:val="clear" w:color="auto" w:fill="FFFFFF"/>
        </w:rPr>
        <w:t> or </w:t>
      </w:r>
      <w:r w:rsidRPr="0064652A">
        <w:rPr>
          <w:sz w:val="20"/>
          <w:szCs w:val="20"/>
        </w:rPr>
        <w:t>December 31, 2022</w:t>
      </w:r>
      <w:r w:rsidRPr="0064652A">
        <w:rPr>
          <w:sz w:val="20"/>
          <w:szCs w:val="20"/>
          <w:shd w:val="clear" w:color="auto" w:fill="FFFFFF"/>
        </w:rPr>
        <w:t>.</w:t>
      </w:r>
    </w:p>
    <w:p w14:paraId="2BDD5B58" w14:textId="77777777" w:rsidR="00C820B8" w:rsidRPr="0064652A" w:rsidRDefault="008D7FC6">
      <w:pPr>
        <w:ind w:firstLine="500"/>
        <w:rPr>
          <w:sz w:val="20"/>
          <w:szCs w:val="20"/>
        </w:rPr>
      </w:pPr>
      <w:r w:rsidRPr="0064652A">
        <w:rPr>
          <w:sz w:val="20"/>
          <w:szCs w:val="20"/>
        </w:rPr>
        <w:t> </w:t>
      </w:r>
    </w:p>
    <w:p w14:paraId="6605F9A3" w14:textId="77777777" w:rsidR="00C820B8" w:rsidRPr="0064652A" w:rsidRDefault="008D7FC6">
      <w:pPr>
        <w:ind w:firstLine="500"/>
        <w:rPr>
          <w:sz w:val="20"/>
          <w:szCs w:val="20"/>
        </w:rPr>
      </w:pPr>
      <w:r w:rsidRPr="0064652A">
        <w:rPr>
          <w:sz w:val="20"/>
          <w:szCs w:val="20"/>
          <w:shd w:val="clear" w:color="auto" w:fill="FFFFFF"/>
        </w:rPr>
        <w:t xml:space="preserve">During the nine month period ended </w:t>
      </w:r>
      <w:r w:rsidRPr="0064652A">
        <w:rPr>
          <w:sz w:val="20"/>
          <w:szCs w:val="20"/>
        </w:rPr>
        <w:t>December 31, 2023</w:t>
      </w:r>
      <w:r w:rsidRPr="0064652A">
        <w:rPr>
          <w:sz w:val="20"/>
          <w:szCs w:val="20"/>
          <w:shd w:val="clear" w:color="auto" w:fill="FFFFFF"/>
        </w:rPr>
        <w:t xml:space="preserve">, the Company procured approximately 93% of its products for resale from its four largest factory suppliers, of which approximately 29% was supplied by its largest supplier and approximately 26%, 23% and 15%, respectively, by the other three suppliers. During the nine month period ended </w:t>
      </w:r>
      <w:r w:rsidRPr="0064652A">
        <w:rPr>
          <w:sz w:val="20"/>
          <w:szCs w:val="20"/>
        </w:rPr>
        <w:t>December 31, 2022</w:t>
      </w:r>
      <w:r w:rsidRPr="0064652A">
        <w:rPr>
          <w:sz w:val="20"/>
          <w:szCs w:val="20"/>
          <w:shd w:val="clear" w:color="auto" w:fill="FFFFFF"/>
        </w:rPr>
        <w:t xml:space="preserve">, the Company procured approximately 99% of its products for resale from its two largest factory suppliers, of which approximately 71% was supplied by its largest supplier and approximately 28% by another supplier. No other suppliers accounted for greater than 10% for either nine month periods ended </w:t>
      </w:r>
      <w:r w:rsidRPr="0064652A">
        <w:rPr>
          <w:sz w:val="20"/>
          <w:szCs w:val="20"/>
        </w:rPr>
        <w:t>December 31, 2023</w:t>
      </w:r>
      <w:r w:rsidRPr="0064652A">
        <w:rPr>
          <w:sz w:val="20"/>
          <w:szCs w:val="20"/>
          <w:shd w:val="clear" w:color="auto" w:fill="FFFFFF"/>
        </w:rPr>
        <w:t> or </w:t>
      </w:r>
      <w:r w:rsidRPr="0064652A">
        <w:rPr>
          <w:sz w:val="20"/>
          <w:szCs w:val="20"/>
        </w:rPr>
        <w:t>December 31, 2022</w:t>
      </w:r>
      <w:bookmarkEnd w:id="17"/>
      <w:r w:rsidRPr="0064652A">
        <w:rPr>
          <w:sz w:val="20"/>
          <w:szCs w:val="20"/>
          <w:shd w:val="clear" w:color="auto" w:fill="FFFFFF"/>
        </w:rPr>
        <w:t>. </w:t>
      </w:r>
    </w:p>
    <w:p w14:paraId="0E46C4AD" w14:textId="77777777" w:rsidR="00C820B8" w:rsidRPr="0064652A" w:rsidRDefault="008D7FC6">
      <w:pPr>
        <w:rPr>
          <w:sz w:val="20"/>
          <w:szCs w:val="20"/>
        </w:rPr>
      </w:pPr>
      <w:r w:rsidRPr="0064652A">
        <w:rPr>
          <w:sz w:val="20"/>
          <w:szCs w:val="20"/>
        </w:rPr>
        <w:t> </w:t>
      </w:r>
    </w:p>
    <w:p w14:paraId="4BF3C7E3" w14:textId="77777777" w:rsidR="00C820B8" w:rsidRPr="0064652A" w:rsidRDefault="008D7FC6">
      <w:pPr>
        <w:jc w:val="center"/>
        <w:rPr>
          <w:sz w:val="20"/>
          <w:szCs w:val="20"/>
        </w:rPr>
      </w:pPr>
      <w:r w:rsidRPr="0064652A">
        <w:rPr>
          <w:sz w:val="20"/>
          <w:szCs w:val="20"/>
        </w:rPr>
        <w:t>11</w:t>
      </w:r>
    </w:p>
    <w:p w14:paraId="62481B4A"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034BDF32" w14:textId="77777777" w:rsidR="00C820B8" w:rsidRPr="0064652A" w:rsidRDefault="008D7FC6">
      <w:pPr>
        <w:rPr>
          <w:sz w:val="20"/>
          <w:szCs w:val="20"/>
        </w:rPr>
      </w:pPr>
      <w:r w:rsidRPr="0064652A">
        <w:rPr>
          <w:sz w:val="20"/>
          <w:szCs w:val="20"/>
        </w:rPr>
        <w:t> </w:t>
      </w:r>
    </w:p>
    <w:p w14:paraId="10BE3791" w14:textId="77777777" w:rsidR="00C820B8" w:rsidRPr="0064652A" w:rsidRDefault="008D7FC6">
      <w:r w:rsidRPr="0064652A">
        <w:t> </w:t>
      </w:r>
    </w:p>
    <w:p w14:paraId="6C666435" w14:textId="77777777" w:rsidR="00C820B8" w:rsidRPr="0064652A" w:rsidRDefault="008D7FC6">
      <w:pPr>
        <w:rPr>
          <w:sz w:val="20"/>
          <w:szCs w:val="20"/>
        </w:rPr>
      </w:pPr>
      <w:r w:rsidRPr="0064652A">
        <w:rPr>
          <w:b/>
          <w:bCs/>
          <w:sz w:val="20"/>
          <w:szCs w:val="20"/>
          <w:shd w:val="clear" w:color="auto" w:fill="FFFFFF"/>
        </w:rPr>
        <w:t xml:space="preserve">NOTE 9 </w:t>
      </w:r>
      <w:r w:rsidRPr="0064652A">
        <w:rPr>
          <w:sz w:val="20"/>
          <w:szCs w:val="20"/>
          <w:shd w:val="clear" w:color="auto" w:fill="FFFFFF"/>
        </w:rPr>
        <w:t>—</w:t>
      </w:r>
      <w:r w:rsidRPr="0064652A">
        <w:rPr>
          <w:b/>
          <w:bCs/>
          <w:sz w:val="20"/>
          <w:szCs w:val="20"/>
          <w:shd w:val="clear" w:color="auto" w:fill="FFFFFF"/>
        </w:rPr>
        <w:t xml:space="preserve"> LEASES</w:t>
      </w:r>
    </w:p>
    <w:p w14:paraId="2F1F2E61" w14:textId="77777777" w:rsidR="00C820B8" w:rsidRPr="0064652A" w:rsidRDefault="008D7FC6">
      <w:pPr>
        <w:rPr>
          <w:sz w:val="20"/>
          <w:szCs w:val="20"/>
        </w:rPr>
      </w:pPr>
      <w:r w:rsidRPr="0064652A">
        <w:rPr>
          <w:sz w:val="20"/>
          <w:szCs w:val="20"/>
        </w:rPr>
        <w:t> </w:t>
      </w:r>
    </w:p>
    <w:p w14:paraId="5A431315" w14:textId="77777777" w:rsidR="00C820B8" w:rsidRPr="0064652A" w:rsidRDefault="008D7FC6">
      <w:pPr>
        <w:ind w:firstLine="500"/>
        <w:jc w:val="both"/>
        <w:rPr>
          <w:sz w:val="20"/>
          <w:szCs w:val="20"/>
        </w:rPr>
      </w:pPr>
      <w:r w:rsidRPr="0064652A">
        <w:rPr>
          <w:sz w:val="20"/>
          <w:szCs w:val="20"/>
          <w:shd w:val="clear" w:color="auto" w:fill="FFFFFF"/>
        </w:rPr>
        <w:t xml:space="preserve">The Company leases office space in the U.S. and in Hong Kong as well as a copier in the U.S. These leases have remaining non-cancellable lease terms of six to sixty months. The Company has elected not to separate lease and non-lease components for all leased assets. The Company did not identify any events or conditions during the quarter ended </w:t>
      </w:r>
      <w:r w:rsidRPr="0064652A">
        <w:rPr>
          <w:sz w:val="20"/>
          <w:szCs w:val="20"/>
        </w:rPr>
        <w:t>December 31, 2023</w:t>
      </w:r>
      <w:r w:rsidRPr="0064652A">
        <w:rPr>
          <w:sz w:val="20"/>
          <w:szCs w:val="20"/>
          <w:shd w:val="clear" w:color="auto" w:fill="FFFFFF"/>
        </w:rPr>
        <w:t xml:space="preserve"> to indicate that a reassessment or re-measurement of the Company’s existing leases was required.</w:t>
      </w:r>
    </w:p>
    <w:p w14:paraId="5A3FF048" w14:textId="77777777" w:rsidR="00C820B8" w:rsidRPr="0064652A" w:rsidRDefault="008D7FC6">
      <w:pPr>
        <w:rPr>
          <w:sz w:val="20"/>
          <w:szCs w:val="20"/>
        </w:rPr>
      </w:pPr>
      <w:r w:rsidRPr="0064652A">
        <w:rPr>
          <w:sz w:val="20"/>
          <w:szCs w:val="20"/>
        </w:rPr>
        <w:t> </w:t>
      </w:r>
    </w:p>
    <w:p w14:paraId="61F1EA52" w14:textId="77777777" w:rsidR="00C820B8" w:rsidRPr="0064652A" w:rsidRDefault="008D7FC6">
      <w:pPr>
        <w:ind w:firstLine="500"/>
        <w:jc w:val="both"/>
        <w:rPr>
          <w:sz w:val="20"/>
          <w:szCs w:val="20"/>
        </w:rPr>
      </w:pPr>
      <w:r w:rsidRPr="0064652A">
        <w:rPr>
          <w:sz w:val="20"/>
          <w:szCs w:val="20"/>
          <w:shd w:val="clear" w:color="auto" w:fill="FFFFFF"/>
        </w:rPr>
        <w:t xml:space="preserve">As of </w:t>
      </w:r>
      <w:r w:rsidRPr="0064652A">
        <w:rPr>
          <w:sz w:val="20"/>
          <w:szCs w:val="20"/>
        </w:rPr>
        <w:t>December 31, 2023</w:t>
      </w:r>
      <w:r w:rsidRPr="0064652A">
        <w:rPr>
          <w:sz w:val="20"/>
          <w:szCs w:val="20"/>
          <w:shd w:val="clear" w:color="auto" w:fill="FFFFFF"/>
        </w:rPr>
        <w:t xml:space="preserve">, the Company’s current operating lease liabilities and finance lease liabilities were $128,000 and $1,000, respectively and its non-current operating lease liabilities and finance lease liabilities were $208,000 and nil, respectively. The Company’s operating and finance lease right-of-use asset balances are presented in non-current assets. The net balance of the Company’s operating and finance lease right-of-use assets as of </w:t>
      </w:r>
      <w:r w:rsidRPr="0064652A">
        <w:rPr>
          <w:sz w:val="20"/>
          <w:szCs w:val="20"/>
        </w:rPr>
        <w:t>December 31, 2023</w:t>
      </w:r>
      <w:r w:rsidRPr="0064652A">
        <w:rPr>
          <w:sz w:val="20"/>
          <w:szCs w:val="20"/>
          <w:shd w:val="clear" w:color="auto" w:fill="FFFFFF"/>
        </w:rPr>
        <w:t xml:space="preserve"> was $327,000 and $1,000, r</w:t>
      </w:r>
      <w:r w:rsidRPr="0064652A">
        <w:rPr>
          <w:sz w:val="20"/>
          <w:szCs w:val="20"/>
        </w:rPr>
        <w:t>espectively.</w:t>
      </w:r>
    </w:p>
    <w:p w14:paraId="18B748C6" w14:textId="77777777" w:rsidR="00C820B8" w:rsidRPr="0064652A" w:rsidRDefault="008D7FC6">
      <w:pPr>
        <w:ind w:firstLine="500"/>
        <w:jc w:val="both"/>
        <w:rPr>
          <w:sz w:val="20"/>
          <w:szCs w:val="20"/>
        </w:rPr>
      </w:pPr>
      <w:r w:rsidRPr="0064652A">
        <w:rPr>
          <w:sz w:val="20"/>
          <w:szCs w:val="20"/>
        </w:rPr>
        <w:t> </w:t>
      </w:r>
    </w:p>
    <w:p w14:paraId="4A6F8682" w14:textId="77777777" w:rsidR="00C820B8" w:rsidRPr="0064652A" w:rsidRDefault="008D7FC6">
      <w:pPr>
        <w:ind w:firstLine="500"/>
        <w:jc w:val="both"/>
        <w:rPr>
          <w:sz w:val="20"/>
          <w:szCs w:val="20"/>
        </w:rPr>
      </w:pPr>
      <w:r w:rsidRPr="0064652A">
        <w:rPr>
          <w:sz w:val="20"/>
          <w:szCs w:val="20"/>
        </w:rPr>
        <w:t>The components of lease costs, which were included in operating expenses in the Company’s condensed consolidated statements of operations, were as follows:</w:t>
      </w:r>
    </w:p>
    <w:p w14:paraId="3387F402" w14:textId="77777777" w:rsidR="00C820B8" w:rsidRPr="0064652A" w:rsidRDefault="008D7FC6">
      <w:pPr>
        <w:ind w:firstLine="500"/>
        <w:rPr>
          <w:sz w:val="20"/>
          <w:szCs w:val="20"/>
        </w:rPr>
      </w:pPr>
      <w:r w:rsidRPr="0064652A">
        <w:rPr>
          <w:sz w:val="20"/>
          <w:szCs w:val="20"/>
        </w:rPr>
        <w:t> </w:t>
      </w:r>
    </w:p>
    <w:tbl>
      <w:tblPr>
        <w:tblStyle w:val="finTable"/>
        <w:tblW w:w="5000" w:type="pct"/>
        <w:tblInd w:w="5" w:type="dxa"/>
        <w:tblCellMar>
          <w:left w:w="0" w:type="dxa"/>
          <w:right w:w="0" w:type="dxa"/>
        </w:tblCellMar>
        <w:tblLook w:val="05E0" w:firstRow="1" w:lastRow="1" w:firstColumn="1" w:lastColumn="1" w:noHBand="0" w:noVBand="1"/>
      </w:tblPr>
      <w:tblGrid>
        <w:gridCol w:w="5615"/>
        <w:gridCol w:w="107"/>
        <w:gridCol w:w="111"/>
        <w:gridCol w:w="971"/>
        <w:gridCol w:w="107"/>
        <w:gridCol w:w="107"/>
        <w:gridCol w:w="111"/>
        <w:gridCol w:w="971"/>
        <w:gridCol w:w="107"/>
        <w:gridCol w:w="107"/>
        <w:gridCol w:w="110"/>
        <w:gridCol w:w="971"/>
        <w:gridCol w:w="107"/>
        <w:gridCol w:w="108"/>
        <w:gridCol w:w="110"/>
        <w:gridCol w:w="972"/>
        <w:gridCol w:w="108"/>
      </w:tblGrid>
      <w:tr w:rsidR="00C820B8" w:rsidRPr="0064652A" w14:paraId="0E445436" w14:textId="77777777">
        <w:tc>
          <w:tcPr>
            <w:tcW w:w="0" w:type="auto"/>
            <w:tcMar>
              <w:top w:w="5" w:type="dxa"/>
              <w:left w:w="5" w:type="dxa"/>
              <w:bottom w:w="5" w:type="dxa"/>
              <w:right w:w="5" w:type="dxa"/>
            </w:tcMar>
            <w:vAlign w:val="bottom"/>
            <w:hideMark/>
          </w:tcPr>
          <w:p w14:paraId="01A8AED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F485E33" w14:textId="77777777" w:rsidR="00C820B8" w:rsidRPr="0064652A" w:rsidRDefault="008D7FC6">
            <w:pPr>
              <w:rPr>
                <w:color w:val="000000"/>
                <w:sz w:val="20"/>
                <w:szCs w:val="20"/>
              </w:rPr>
            </w:pPr>
            <w:r w:rsidRPr="0064652A">
              <w:rPr>
                <w:color w:val="000000"/>
                <w:sz w:val="20"/>
                <w:szCs w:val="20"/>
              </w:rPr>
              <w:t> </w:t>
            </w:r>
          </w:p>
        </w:tc>
        <w:tc>
          <w:tcPr>
            <w:tcW w:w="0" w:type="auto"/>
            <w:gridSpan w:val="6"/>
            <w:tcMar>
              <w:top w:w="5" w:type="dxa"/>
              <w:left w:w="5" w:type="dxa"/>
              <w:bottom w:w="5" w:type="dxa"/>
              <w:right w:w="5" w:type="dxa"/>
            </w:tcMar>
            <w:vAlign w:val="bottom"/>
            <w:hideMark/>
          </w:tcPr>
          <w:p w14:paraId="56529A2D" w14:textId="77777777" w:rsidR="00C820B8" w:rsidRPr="0064652A" w:rsidRDefault="008D7FC6">
            <w:pPr>
              <w:jc w:val="center"/>
              <w:rPr>
                <w:color w:val="000000"/>
                <w:sz w:val="20"/>
                <w:szCs w:val="20"/>
              </w:rPr>
            </w:pPr>
            <w:r w:rsidRPr="0064652A">
              <w:rPr>
                <w:b/>
                <w:bCs/>
                <w:color w:val="000000"/>
                <w:sz w:val="20"/>
                <w:szCs w:val="20"/>
              </w:rPr>
              <w:t>Three Months Ended December 31,</w:t>
            </w:r>
          </w:p>
        </w:tc>
        <w:tc>
          <w:tcPr>
            <w:tcW w:w="0" w:type="auto"/>
            <w:tcMar>
              <w:top w:w="5" w:type="dxa"/>
              <w:left w:w="5" w:type="dxa"/>
              <w:bottom w:w="5" w:type="dxa"/>
              <w:right w:w="5" w:type="dxa"/>
            </w:tcMar>
            <w:vAlign w:val="bottom"/>
            <w:hideMark/>
          </w:tcPr>
          <w:p w14:paraId="39F198E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4828BC4" w14:textId="77777777" w:rsidR="00C820B8" w:rsidRPr="0064652A" w:rsidRDefault="008D7FC6">
            <w:pPr>
              <w:rPr>
                <w:color w:val="000000"/>
                <w:sz w:val="20"/>
                <w:szCs w:val="20"/>
              </w:rPr>
            </w:pPr>
            <w:r w:rsidRPr="0064652A">
              <w:rPr>
                <w:color w:val="000000"/>
                <w:sz w:val="20"/>
                <w:szCs w:val="20"/>
              </w:rPr>
              <w:t> </w:t>
            </w:r>
          </w:p>
        </w:tc>
        <w:tc>
          <w:tcPr>
            <w:tcW w:w="0" w:type="auto"/>
            <w:gridSpan w:val="6"/>
            <w:tcMar>
              <w:top w:w="5" w:type="dxa"/>
              <w:left w:w="5" w:type="dxa"/>
              <w:bottom w:w="5" w:type="dxa"/>
              <w:right w:w="5" w:type="dxa"/>
            </w:tcMar>
            <w:vAlign w:val="bottom"/>
            <w:hideMark/>
          </w:tcPr>
          <w:p w14:paraId="1F388F22" w14:textId="77777777" w:rsidR="00C820B8" w:rsidRPr="0064652A" w:rsidRDefault="008D7FC6">
            <w:pPr>
              <w:jc w:val="center"/>
              <w:rPr>
                <w:color w:val="000000"/>
                <w:sz w:val="20"/>
                <w:szCs w:val="20"/>
              </w:rPr>
            </w:pPr>
            <w:r w:rsidRPr="0064652A">
              <w:rPr>
                <w:b/>
                <w:bCs/>
                <w:color w:val="000000"/>
                <w:sz w:val="20"/>
                <w:szCs w:val="20"/>
              </w:rPr>
              <w:t>Nine Months Ended December 31,</w:t>
            </w:r>
          </w:p>
        </w:tc>
        <w:tc>
          <w:tcPr>
            <w:tcW w:w="0" w:type="auto"/>
            <w:tcMar>
              <w:top w:w="5" w:type="dxa"/>
              <w:left w:w="5" w:type="dxa"/>
              <w:bottom w:w="5" w:type="dxa"/>
              <w:right w:w="5" w:type="dxa"/>
            </w:tcMar>
            <w:vAlign w:val="bottom"/>
            <w:hideMark/>
          </w:tcPr>
          <w:p w14:paraId="57D7D647" w14:textId="77777777" w:rsidR="00C820B8" w:rsidRPr="0064652A" w:rsidRDefault="008D7FC6">
            <w:pPr>
              <w:rPr>
                <w:color w:val="000000"/>
                <w:sz w:val="20"/>
                <w:szCs w:val="20"/>
              </w:rPr>
            </w:pPr>
            <w:r w:rsidRPr="0064652A">
              <w:rPr>
                <w:color w:val="000000"/>
                <w:sz w:val="20"/>
                <w:szCs w:val="20"/>
              </w:rPr>
              <w:t> </w:t>
            </w:r>
          </w:p>
        </w:tc>
      </w:tr>
      <w:tr w:rsidR="00C820B8" w:rsidRPr="0064652A" w14:paraId="6F6B491A" w14:textId="77777777">
        <w:tc>
          <w:tcPr>
            <w:tcW w:w="0" w:type="auto"/>
            <w:tcMar>
              <w:top w:w="5" w:type="dxa"/>
              <w:left w:w="5" w:type="dxa"/>
              <w:bottom w:w="5" w:type="dxa"/>
              <w:right w:w="5" w:type="dxa"/>
            </w:tcMar>
            <w:vAlign w:val="bottom"/>
            <w:hideMark/>
          </w:tcPr>
          <w:p w14:paraId="6E5F5D1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B83A535"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465B858" w14:textId="77777777" w:rsidR="00C820B8" w:rsidRPr="0064652A" w:rsidRDefault="008D7FC6">
            <w:pPr>
              <w:jc w:val="center"/>
              <w:rPr>
                <w:color w:val="000000"/>
                <w:sz w:val="20"/>
                <w:szCs w:val="20"/>
              </w:rPr>
            </w:pPr>
            <w:r w:rsidRPr="0064652A">
              <w:rPr>
                <w:b/>
                <w:bCs/>
                <w:color w:val="000000"/>
                <w:sz w:val="20"/>
                <w:szCs w:val="20"/>
              </w:rPr>
              <w:t>2023</w:t>
            </w:r>
          </w:p>
        </w:tc>
        <w:tc>
          <w:tcPr>
            <w:tcW w:w="0" w:type="auto"/>
            <w:tcMar>
              <w:top w:w="5" w:type="dxa"/>
              <w:left w:w="5" w:type="dxa"/>
              <w:bottom w:w="20" w:type="dxa"/>
              <w:right w:w="5" w:type="dxa"/>
            </w:tcMar>
            <w:vAlign w:val="bottom"/>
            <w:hideMark/>
          </w:tcPr>
          <w:p w14:paraId="2D5DFCD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9BA4530"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9FCFDEE" w14:textId="77777777" w:rsidR="00C820B8" w:rsidRPr="0064652A" w:rsidRDefault="008D7FC6">
            <w:pPr>
              <w:jc w:val="center"/>
              <w:rPr>
                <w:color w:val="000000"/>
                <w:sz w:val="20"/>
                <w:szCs w:val="20"/>
              </w:rPr>
            </w:pPr>
            <w:r w:rsidRPr="0064652A">
              <w:rPr>
                <w:b/>
                <w:bCs/>
                <w:color w:val="000000"/>
                <w:sz w:val="20"/>
                <w:szCs w:val="20"/>
              </w:rPr>
              <w:t>2022</w:t>
            </w:r>
          </w:p>
        </w:tc>
        <w:tc>
          <w:tcPr>
            <w:tcW w:w="0" w:type="auto"/>
            <w:tcMar>
              <w:top w:w="5" w:type="dxa"/>
              <w:left w:w="5" w:type="dxa"/>
              <w:bottom w:w="20" w:type="dxa"/>
              <w:right w:w="5" w:type="dxa"/>
            </w:tcMar>
            <w:vAlign w:val="bottom"/>
            <w:hideMark/>
          </w:tcPr>
          <w:p w14:paraId="09A675D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203A5E7"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1005EDD" w14:textId="77777777" w:rsidR="00C820B8" w:rsidRPr="0064652A" w:rsidRDefault="008D7FC6">
            <w:pPr>
              <w:jc w:val="center"/>
              <w:rPr>
                <w:color w:val="000000"/>
                <w:sz w:val="20"/>
                <w:szCs w:val="20"/>
              </w:rPr>
            </w:pPr>
            <w:r w:rsidRPr="0064652A">
              <w:rPr>
                <w:b/>
                <w:bCs/>
                <w:color w:val="000000"/>
                <w:sz w:val="20"/>
                <w:szCs w:val="20"/>
              </w:rPr>
              <w:t>2023</w:t>
            </w:r>
          </w:p>
        </w:tc>
        <w:tc>
          <w:tcPr>
            <w:tcW w:w="0" w:type="auto"/>
            <w:tcMar>
              <w:top w:w="5" w:type="dxa"/>
              <w:left w:w="5" w:type="dxa"/>
              <w:bottom w:w="20" w:type="dxa"/>
              <w:right w:w="5" w:type="dxa"/>
            </w:tcMar>
            <w:vAlign w:val="bottom"/>
            <w:hideMark/>
          </w:tcPr>
          <w:p w14:paraId="36443D3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2ED6DC6"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9993C5E" w14:textId="77777777" w:rsidR="00C820B8" w:rsidRPr="0064652A" w:rsidRDefault="008D7FC6">
            <w:pPr>
              <w:jc w:val="center"/>
              <w:rPr>
                <w:color w:val="000000"/>
                <w:sz w:val="20"/>
                <w:szCs w:val="20"/>
              </w:rPr>
            </w:pPr>
            <w:r w:rsidRPr="0064652A">
              <w:rPr>
                <w:b/>
                <w:bCs/>
                <w:color w:val="000000"/>
                <w:sz w:val="20"/>
                <w:szCs w:val="20"/>
              </w:rPr>
              <w:t>2022</w:t>
            </w:r>
          </w:p>
        </w:tc>
        <w:tc>
          <w:tcPr>
            <w:tcW w:w="0" w:type="auto"/>
            <w:tcMar>
              <w:top w:w="5" w:type="dxa"/>
              <w:left w:w="5" w:type="dxa"/>
              <w:bottom w:w="20" w:type="dxa"/>
              <w:right w:w="5" w:type="dxa"/>
            </w:tcMar>
            <w:vAlign w:val="bottom"/>
            <w:hideMark/>
          </w:tcPr>
          <w:p w14:paraId="26ADAA4E" w14:textId="77777777" w:rsidR="00C820B8" w:rsidRPr="0064652A" w:rsidRDefault="008D7FC6">
            <w:pPr>
              <w:rPr>
                <w:color w:val="000000"/>
                <w:sz w:val="20"/>
                <w:szCs w:val="20"/>
              </w:rPr>
            </w:pPr>
            <w:r w:rsidRPr="0064652A">
              <w:rPr>
                <w:color w:val="000000"/>
                <w:sz w:val="20"/>
                <w:szCs w:val="20"/>
              </w:rPr>
              <w:t> </w:t>
            </w:r>
          </w:p>
        </w:tc>
      </w:tr>
      <w:tr w:rsidR="00C820B8" w:rsidRPr="0064652A" w14:paraId="6CD02736" w14:textId="77777777">
        <w:tc>
          <w:tcPr>
            <w:tcW w:w="0" w:type="auto"/>
            <w:tcMar>
              <w:top w:w="5" w:type="dxa"/>
              <w:left w:w="5" w:type="dxa"/>
              <w:bottom w:w="5" w:type="dxa"/>
              <w:right w:w="5" w:type="dxa"/>
            </w:tcMar>
            <w:vAlign w:val="bottom"/>
            <w:hideMark/>
          </w:tcPr>
          <w:p w14:paraId="01E0515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59C9FC4" w14:textId="77777777" w:rsidR="00C820B8" w:rsidRPr="0064652A" w:rsidRDefault="008D7FC6">
            <w:pPr>
              <w:rPr>
                <w:color w:val="000000"/>
                <w:sz w:val="20"/>
                <w:szCs w:val="20"/>
              </w:rPr>
            </w:pPr>
            <w:r w:rsidRPr="0064652A">
              <w:rPr>
                <w:color w:val="000000"/>
                <w:sz w:val="20"/>
                <w:szCs w:val="20"/>
              </w:rPr>
              <w:t> </w:t>
            </w:r>
          </w:p>
        </w:tc>
        <w:tc>
          <w:tcPr>
            <w:tcW w:w="0" w:type="auto"/>
            <w:gridSpan w:val="6"/>
            <w:tcMar>
              <w:top w:w="5" w:type="dxa"/>
              <w:left w:w="5" w:type="dxa"/>
              <w:bottom w:w="5" w:type="dxa"/>
              <w:right w:w="5" w:type="dxa"/>
            </w:tcMar>
            <w:vAlign w:val="bottom"/>
            <w:hideMark/>
          </w:tcPr>
          <w:p w14:paraId="34A9E80A" w14:textId="77777777" w:rsidR="00C820B8" w:rsidRPr="0064652A" w:rsidRDefault="008D7FC6">
            <w:pPr>
              <w:jc w:val="center"/>
              <w:rPr>
                <w:color w:val="000000"/>
                <w:sz w:val="20"/>
                <w:szCs w:val="20"/>
              </w:rPr>
            </w:pPr>
            <w:r w:rsidRPr="0064652A">
              <w:rPr>
                <w:b/>
                <w:bCs/>
                <w:color w:val="000000"/>
                <w:sz w:val="20"/>
                <w:szCs w:val="20"/>
              </w:rPr>
              <w:t>(in thousands)</w:t>
            </w:r>
          </w:p>
        </w:tc>
        <w:tc>
          <w:tcPr>
            <w:tcW w:w="0" w:type="auto"/>
            <w:tcMar>
              <w:top w:w="5" w:type="dxa"/>
              <w:left w:w="5" w:type="dxa"/>
              <w:bottom w:w="5" w:type="dxa"/>
              <w:right w:w="5" w:type="dxa"/>
            </w:tcMar>
            <w:vAlign w:val="bottom"/>
            <w:hideMark/>
          </w:tcPr>
          <w:p w14:paraId="75379D3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19697FF" w14:textId="77777777" w:rsidR="00C820B8" w:rsidRPr="0064652A" w:rsidRDefault="008D7FC6">
            <w:pPr>
              <w:rPr>
                <w:color w:val="000000"/>
                <w:sz w:val="20"/>
                <w:szCs w:val="20"/>
              </w:rPr>
            </w:pPr>
            <w:r w:rsidRPr="0064652A">
              <w:rPr>
                <w:color w:val="000000"/>
                <w:sz w:val="20"/>
                <w:szCs w:val="20"/>
              </w:rPr>
              <w:t> </w:t>
            </w:r>
          </w:p>
        </w:tc>
        <w:tc>
          <w:tcPr>
            <w:tcW w:w="0" w:type="auto"/>
            <w:gridSpan w:val="6"/>
            <w:tcMar>
              <w:top w:w="5" w:type="dxa"/>
              <w:left w:w="5" w:type="dxa"/>
              <w:bottom w:w="5" w:type="dxa"/>
              <w:right w:w="5" w:type="dxa"/>
            </w:tcMar>
            <w:vAlign w:val="bottom"/>
            <w:hideMark/>
          </w:tcPr>
          <w:p w14:paraId="39521630" w14:textId="77777777" w:rsidR="00C820B8" w:rsidRPr="0064652A" w:rsidRDefault="008D7FC6">
            <w:pPr>
              <w:jc w:val="center"/>
              <w:rPr>
                <w:color w:val="000000"/>
                <w:sz w:val="20"/>
                <w:szCs w:val="20"/>
              </w:rPr>
            </w:pPr>
            <w:r w:rsidRPr="0064652A">
              <w:rPr>
                <w:b/>
                <w:bCs/>
                <w:color w:val="000000"/>
                <w:sz w:val="20"/>
                <w:szCs w:val="20"/>
              </w:rPr>
              <w:t>(in thousands)</w:t>
            </w:r>
          </w:p>
        </w:tc>
        <w:tc>
          <w:tcPr>
            <w:tcW w:w="0" w:type="auto"/>
            <w:tcMar>
              <w:top w:w="5" w:type="dxa"/>
              <w:left w:w="5" w:type="dxa"/>
              <w:bottom w:w="5" w:type="dxa"/>
              <w:right w:w="5" w:type="dxa"/>
            </w:tcMar>
            <w:vAlign w:val="bottom"/>
            <w:hideMark/>
          </w:tcPr>
          <w:p w14:paraId="1D29EF5B" w14:textId="77777777" w:rsidR="00C820B8" w:rsidRPr="0064652A" w:rsidRDefault="008D7FC6">
            <w:pPr>
              <w:rPr>
                <w:color w:val="000000"/>
                <w:sz w:val="20"/>
                <w:szCs w:val="20"/>
              </w:rPr>
            </w:pPr>
            <w:r w:rsidRPr="0064652A">
              <w:rPr>
                <w:color w:val="000000"/>
                <w:sz w:val="20"/>
                <w:szCs w:val="20"/>
              </w:rPr>
              <w:t> </w:t>
            </w:r>
          </w:p>
        </w:tc>
      </w:tr>
      <w:tr w:rsidR="00C820B8" w:rsidRPr="0064652A" w14:paraId="21791D59" w14:textId="77777777">
        <w:tc>
          <w:tcPr>
            <w:tcW w:w="2600" w:type="pct"/>
            <w:tcMar>
              <w:top w:w="5" w:type="dxa"/>
              <w:left w:w="5" w:type="dxa"/>
              <w:bottom w:w="5" w:type="dxa"/>
              <w:right w:w="5" w:type="dxa"/>
            </w:tcMar>
            <w:vAlign w:val="bottom"/>
            <w:hideMark/>
          </w:tcPr>
          <w:p w14:paraId="087D2274" w14:textId="77777777" w:rsidR="00C820B8" w:rsidRPr="0064652A" w:rsidRDefault="008D7FC6">
            <w:pPr>
              <w:rPr>
                <w:color w:val="000000"/>
                <w:sz w:val="20"/>
                <w:szCs w:val="20"/>
              </w:rPr>
            </w:pPr>
            <w:r w:rsidRPr="0064652A">
              <w:rPr>
                <w:b/>
                <w:bCs/>
                <w:color w:val="000000"/>
                <w:sz w:val="20"/>
                <w:szCs w:val="20"/>
              </w:rPr>
              <w:t>Lease cost</w:t>
            </w:r>
          </w:p>
        </w:tc>
        <w:tc>
          <w:tcPr>
            <w:tcW w:w="0" w:type="auto"/>
            <w:tcMar>
              <w:top w:w="5" w:type="dxa"/>
              <w:left w:w="5" w:type="dxa"/>
              <w:bottom w:w="5" w:type="dxa"/>
              <w:right w:w="5" w:type="dxa"/>
            </w:tcMar>
            <w:vAlign w:val="bottom"/>
            <w:hideMark/>
          </w:tcPr>
          <w:p w14:paraId="439F7BE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8613CD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568AC0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B9B3AF1"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4D30F93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AD52EE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F76680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C80DED5"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06F15D8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49D0CA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7FC61D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842BEBD"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739C2AA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91C57C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F5F44E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4E432AE" w14:textId="77777777" w:rsidR="00C820B8" w:rsidRPr="0064652A" w:rsidRDefault="008D7FC6">
            <w:pPr>
              <w:rPr>
                <w:color w:val="000000"/>
                <w:sz w:val="20"/>
                <w:szCs w:val="20"/>
              </w:rPr>
            </w:pPr>
            <w:r w:rsidRPr="0064652A">
              <w:rPr>
                <w:b/>
                <w:bCs/>
                <w:color w:val="000000"/>
                <w:sz w:val="20"/>
                <w:szCs w:val="20"/>
              </w:rPr>
              <w:t> </w:t>
            </w:r>
          </w:p>
        </w:tc>
      </w:tr>
      <w:tr w:rsidR="00C820B8" w:rsidRPr="0064652A" w14:paraId="4B5DC01A" w14:textId="77777777">
        <w:tc>
          <w:tcPr>
            <w:tcW w:w="0" w:type="auto"/>
            <w:tcMar>
              <w:top w:w="5" w:type="dxa"/>
              <w:left w:w="5" w:type="dxa"/>
              <w:bottom w:w="5" w:type="dxa"/>
              <w:right w:w="5" w:type="dxa"/>
            </w:tcMar>
            <w:vAlign w:val="bottom"/>
            <w:hideMark/>
          </w:tcPr>
          <w:p w14:paraId="3E679488" w14:textId="77777777" w:rsidR="00C820B8" w:rsidRPr="0064652A" w:rsidRDefault="008D7FC6">
            <w:pPr>
              <w:ind w:left="180"/>
              <w:rPr>
                <w:color w:val="000000"/>
                <w:sz w:val="20"/>
                <w:szCs w:val="20"/>
              </w:rPr>
            </w:pPr>
            <w:r w:rsidRPr="0064652A">
              <w:rPr>
                <w:color w:val="000000"/>
                <w:sz w:val="20"/>
                <w:szCs w:val="20"/>
              </w:rPr>
              <w:t>Operating lease cost</w:t>
            </w:r>
          </w:p>
        </w:tc>
        <w:tc>
          <w:tcPr>
            <w:tcW w:w="50" w:type="pct"/>
            <w:tcMar>
              <w:top w:w="5" w:type="dxa"/>
              <w:left w:w="5" w:type="dxa"/>
              <w:bottom w:w="5" w:type="dxa"/>
              <w:right w:w="5" w:type="dxa"/>
            </w:tcMar>
            <w:vAlign w:val="bottom"/>
            <w:hideMark/>
          </w:tcPr>
          <w:p w14:paraId="26B9FDE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84E27E3" w14:textId="77777777" w:rsidR="00C820B8" w:rsidRPr="0064652A" w:rsidRDefault="008D7FC6">
            <w:pPr>
              <w:rPr>
                <w:color w:val="000000"/>
                <w:sz w:val="20"/>
                <w:szCs w:val="20"/>
              </w:rPr>
            </w:pPr>
            <w:r w:rsidRPr="0064652A">
              <w:rPr>
                <w:color w:val="000000"/>
                <w:sz w:val="20"/>
                <w:szCs w:val="20"/>
              </w:rPr>
              <w:t>$</w:t>
            </w:r>
          </w:p>
        </w:tc>
        <w:tc>
          <w:tcPr>
            <w:tcW w:w="450" w:type="pct"/>
            <w:tcMar>
              <w:top w:w="5" w:type="dxa"/>
              <w:left w:w="5" w:type="dxa"/>
              <w:bottom w:w="5" w:type="dxa"/>
              <w:right w:w="5" w:type="dxa"/>
            </w:tcMar>
            <w:vAlign w:val="bottom"/>
            <w:hideMark/>
          </w:tcPr>
          <w:p w14:paraId="795D064E" w14:textId="77777777" w:rsidR="00C820B8" w:rsidRPr="0064652A" w:rsidRDefault="008D7FC6">
            <w:pPr>
              <w:jc w:val="right"/>
              <w:rPr>
                <w:color w:val="000000"/>
                <w:sz w:val="20"/>
                <w:szCs w:val="20"/>
              </w:rPr>
            </w:pPr>
            <w:r w:rsidRPr="0064652A">
              <w:rPr>
                <w:color w:val="000000"/>
                <w:sz w:val="20"/>
                <w:szCs w:val="20"/>
              </w:rPr>
              <w:t>52</w:t>
            </w:r>
          </w:p>
        </w:tc>
        <w:tc>
          <w:tcPr>
            <w:tcW w:w="50" w:type="pct"/>
            <w:noWrap/>
            <w:tcMar>
              <w:top w:w="5" w:type="dxa"/>
              <w:left w:w="5" w:type="dxa"/>
              <w:bottom w:w="5" w:type="dxa"/>
              <w:right w:w="5" w:type="dxa"/>
            </w:tcMar>
            <w:vAlign w:val="bottom"/>
            <w:hideMark/>
          </w:tcPr>
          <w:p w14:paraId="00C7CC2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BF0E5A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3A691C2" w14:textId="77777777" w:rsidR="00C820B8" w:rsidRPr="0064652A" w:rsidRDefault="008D7FC6">
            <w:pPr>
              <w:rPr>
                <w:color w:val="000000"/>
                <w:sz w:val="20"/>
                <w:szCs w:val="20"/>
              </w:rPr>
            </w:pPr>
            <w:r w:rsidRPr="0064652A">
              <w:rPr>
                <w:color w:val="000000"/>
                <w:sz w:val="20"/>
                <w:szCs w:val="20"/>
              </w:rPr>
              <w:t>$</w:t>
            </w:r>
          </w:p>
        </w:tc>
        <w:tc>
          <w:tcPr>
            <w:tcW w:w="450" w:type="pct"/>
            <w:tcMar>
              <w:top w:w="5" w:type="dxa"/>
              <w:left w:w="5" w:type="dxa"/>
              <w:bottom w:w="5" w:type="dxa"/>
              <w:right w:w="5" w:type="dxa"/>
            </w:tcMar>
            <w:vAlign w:val="bottom"/>
            <w:hideMark/>
          </w:tcPr>
          <w:p w14:paraId="183281E7" w14:textId="77777777" w:rsidR="00C820B8" w:rsidRPr="0064652A" w:rsidRDefault="008D7FC6">
            <w:pPr>
              <w:jc w:val="right"/>
              <w:rPr>
                <w:color w:val="000000"/>
                <w:sz w:val="20"/>
                <w:szCs w:val="20"/>
              </w:rPr>
            </w:pPr>
            <w:r w:rsidRPr="0064652A">
              <w:rPr>
                <w:color w:val="000000"/>
                <w:sz w:val="20"/>
                <w:szCs w:val="20"/>
              </w:rPr>
              <w:t>60</w:t>
            </w:r>
          </w:p>
        </w:tc>
        <w:tc>
          <w:tcPr>
            <w:tcW w:w="50" w:type="pct"/>
            <w:noWrap/>
            <w:tcMar>
              <w:top w:w="5" w:type="dxa"/>
              <w:left w:w="5" w:type="dxa"/>
              <w:bottom w:w="5" w:type="dxa"/>
              <w:right w:w="5" w:type="dxa"/>
            </w:tcMar>
            <w:vAlign w:val="bottom"/>
            <w:hideMark/>
          </w:tcPr>
          <w:p w14:paraId="64AE428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C3A77A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A0C9ADB" w14:textId="77777777" w:rsidR="00C820B8" w:rsidRPr="0064652A" w:rsidRDefault="008D7FC6">
            <w:pPr>
              <w:rPr>
                <w:color w:val="000000"/>
                <w:sz w:val="20"/>
                <w:szCs w:val="20"/>
              </w:rPr>
            </w:pPr>
            <w:r w:rsidRPr="0064652A">
              <w:rPr>
                <w:color w:val="000000"/>
                <w:sz w:val="20"/>
                <w:szCs w:val="20"/>
              </w:rPr>
              <w:t>$</w:t>
            </w:r>
          </w:p>
        </w:tc>
        <w:tc>
          <w:tcPr>
            <w:tcW w:w="450" w:type="pct"/>
            <w:tcMar>
              <w:top w:w="5" w:type="dxa"/>
              <w:left w:w="5" w:type="dxa"/>
              <w:bottom w:w="5" w:type="dxa"/>
              <w:right w:w="5" w:type="dxa"/>
            </w:tcMar>
            <w:vAlign w:val="bottom"/>
            <w:hideMark/>
          </w:tcPr>
          <w:p w14:paraId="109D99F4" w14:textId="77777777" w:rsidR="00C820B8" w:rsidRPr="0064652A" w:rsidRDefault="008D7FC6">
            <w:pPr>
              <w:jc w:val="right"/>
              <w:rPr>
                <w:color w:val="000000"/>
                <w:sz w:val="20"/>
                <w:szCs w:val="20"/>
              </w:rPr>
            </w:pPr>
            <w:r w:rsidRPr="0064652A">
              <w:rPr>
                <w:color w:val="000000"/>
                <w:sz w:val="20"/>
                <w:szCs w:val="20"/>
              </w:rPr>
              <w:t>141</w:t>
            </w:r>
          </w:p>
        </w:tc>
        <w:tc>
          <w:tcPr>
            <w:tcW w:w="50" w:type="pct"/>
            <w:noWrap/>
            <w:tcMar>
              <w:top w:w="5" w:type="dxa"/>
              <w:left w:w="5" w:type="dxa"/>
              <w:bottom w:w="5" w:type="dxa"/>
              <w:right w:w="5" w:type="dxa"/>
            </w:tcMar>
            <w:vAlign w:val="bottom"/>
            <w:hideMark/>
          </w:tcPr>
          <w:p w14:paraId="0927E9A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B3C68F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7949544" w14:textId="77777777" w:rsidR="00C820B8" w:rsidRPr="0064652A" w:rsidRDefault="008D7FC6">
            <w:pPr>
              <w:rPr>
                <w:color w:val="000000"/>
                <w:sz w:val="20"/>
                <w:szCs w:val="20"/>
              </w:rPr>
            </w:pPr>
            <w:r w:rsidRPr="0064652A">
              <w:rPr>
                <w:color w:val="000000"/>
                <w:sz w:val="20"/>
                <w:szCs w:val="20"/>
              </w:rPr>
              <w:t>$</w:t>
            </w:r>
          </w:p>
        </w:tc>
        <w:tc>
          <w:tcPr>
            <w:tcW w:w="450" w:type="pct"/>
            <w:tcMar>
              <w:top w:w="5" w:type="dxa"/>
              <w:left w:w="5" w:type="dxa"/>
              <w:bottom w:w="5" w:type="dxa"/>
              <w:right w:w="5" w:type="dxa"/>
            </w:tcMar>
            <w:vAlign w:val="bottom"/>
            <w:hideMark/>
          </w:tcPr>
          <w:p w14:paraId="5A2F25FF" w14:textId="77777777" w:rsidR="00C820B8" w:rsidRPr="0064652A" w:rsidRDefault="008D7FC6">
            <w:pPr>
              <w:jc w:val="right"/>
              <w:rPr>
                <w:color w:val="000000"/>
                <w:sz w:val="20"/>
                <w:szCs w:val="20"/>
              </w:rPr>
            </w:pPr>
            <w:r w:rsidRPr="0064652A">
              <w:rPr>
                <w:color w:val="000000"/>
                <w:sz w:val="20"/>
                <w:szCs w:val="20"/>
              </w:rPr>
              <w:t>185</w:t>
            </w:r>
          </w:p>
        </w:tc>
        <w:tc>
          <w:tcPr>
            <w:tcW w:w="50" w:type="pct"/>
            <w:noWrap/>
            <w:tcMar>
              <w:top w:w="5" w:type="dxa"/>
              <w:left w:w="5" w:type="dxa"/>
              <w:bottom w:w="5" w:type="dxa"/>
              <w:right w:w="5" w:type="dxa"/>
            </w:tcMar>
            <w:vAlign w:val="bottom"/>
            <w:hideMark/>
          </w:tcPr>
          <w:p w14:paraId="5DD18EBD" w14:textId="77777777" w:rsidR="00C820B8" w:rsidRPr="0064652A" w:rsidRDefault="008D7FC6">
            <w:pPr>
              <w:rPr>
                <w:color w:val="000000"/>
                <w:sz w:val="20"/>
                <w:szCs w:val="20"/>
              </w:rPr>
            </w:pPr>
            <w:r w:rsidRPr="0064652A">
              <w:rPr>
                <w:color w:val="000000"/>
                <w:sz w:val="20"/>
                <w:szCs w:val="20"/>
              </w:rPr>
              <w:t> </w:t>
            </w:r>
          </w:p>
        </w:tc>
      </w:tr>
      <w:tr w:rsidR="00C820B8" w:rsidRPr="0064652A" w14:paraId="43384523" w14:textId="77777777">
        <w:tc>
          <w:tcPr>
            <w:tcW w:w="0" w:type="auto"/>
            <w:tcMar>
              <w:top w:w="5" w:type="dxa"/>
              <w:left w:w="5" w:type="dxa"/>
              <w:bottom w:w="5" w:type="dxa"/>
              <w:right w:w="5" w:type="dxa"/>
            </w:tcMar>
            <w:vAlign w:val="bottom"/>
            <w:hideMark/>
          </w:tcPr>
          <w:p w14:paraId="669F7E4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FBD86E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4EC019C"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1D06AD64" w14:textId="77777777" w:rsidR="00C820B8" w:rsidRPr="0064652A" w:rsidRDefault="008D7FC6">
            <w:pPr>
              <w:jc w:val="right"/>
              <w:rPr>
                <w:color w:val="000000"/>
                <w:sz w:val="20"/>
                <w:szCs w:val="20"/>
              </w:rPr>
            </w:pPr>
            <w:r w:rsidRPr="0064652A">
              <w:rPr>
                <w:color w:val="000000"/>
                <w:sz w:val="20"/>
                <w:szCs w:val="20"/>
              </w:rPr>
              <w:t> </w:t>
            </w:r>
          </w:p>
        </w:tc>
        <w:tc>
          <w:tcPr>
            <w:tcW w:w="50" w:type="pct"/>
            <w:noWrap/>
            <w:tcMar>
              <w:top w:w="5" w:type="dxa"/>
              <w:left w:w="5" w:type="dxa"/>
              <w:bottom w:w="5" w:type="dxa"/>
              <w:right w:w="5" w:type="dxa"/>
            </w:tcMar>
            <w:vAlign w:val="bottom"/>
            <w:hideMark/>
          </w:tcPr>
          <w:p w14:paraId="2436A89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FEDE1A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3F76E42"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064DAD9A" w14:textId="77777777" w:rsidR="00C820B8" w:rsidRPr="0064652A" w:rsidRDefault="008D7FC6">
            <w:pPr>
              <w:jc w:val="right"/>
              <w:rPr>
                <w:color w:val="000000"/>
                <w:sz w:val="20"/>
                <w:szCs w:val="20"/>
              </w:rPr>
            </w:pPr>
            <w:r w:rsidRPr="0064652A">
              <w:rPr>
                <w:color w:val="000000"/>
                <w:sz w:val="20"/>
                <w:szCs w:val="20"/>
              </w:rPr>
              <w:t> </w:t>
            </w:r>
          </w:p>
        </w:tc>
        <w:tc>
          <w:tcPr>
            <w:tcW w:w="50" w:type="pct"/>
            <w:noWrap/>
            <w:tcMar>
              <w:top w:w="5" w:type="dxa"/>
              <w:left w:w="5" w:type="dxa"/>
              <w:bottom w:w="5" w:type="dxa"/>
              <w:right w:w="5" w:type="dxa"/>
            </w:tcMar>
            <w:vAlign w:val="bottom"/>
            <w:hideMark/>
          </w:tcPr>
          <w:p w14:paraId="6D09955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3B2B40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9B20601"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5D9D1F71" w14:textId="77777777" w:rsidR="00C820B8" w:rsidRPr="0064652A" w:rsidRDefault="008D7FC6">
            <w:pPr>
              <w:jc w:val="right"/>
              <w:rPr>
                <w:color w:val="000000"/>
                <w:sz w:val="20"/>
                <w:szCs w:val="20"/>
              </w:rPr>
            </w:pPr>
            <w:r w:rsidRPr="0064652A">
              <w:rPr>
                <w:color w:val="000000"/>
                <w:sz w:val="20"/>
                <w:szCs w:val="20"/>
              </w:rPr>
              <w:t> </w:t>
            </w:r>
          </w:p>
        </w:tc>
        <w:tc>
          <w:tcPr>
            <w:tcW w:w="50" w:type="pct"/>
            <w:noWrap/>
            <w:tcMar>
              <w:top w:w="5" w:type="dxa"/>
              <w:left w:w="5" w:type="dxa"/>
              <w:bottom w:w="5" w:type="dxa"/>
              <w:right w:w="5" w:type="dxa"/>
            </w:tcMar>
            <w:vAlign w:val="bottom"/>
            <w:hideMark/>
          </w:tcPr>
          <w:p w14:paraId="6FCC0C0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1F6BB3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17A0AAB"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71F83775" w14:textId="77777777" w:rsidR="00C820B8" w:rsidRPr="0064652A" w:rsidRDefault="008D7FC6">
            <w:pPr>
              <w:jc w:val="right"/>
              <w:rPr>
                <w:color w:val="000000"/>
                <w:sz w:val="20"/>
                <w:szCs w:val="20"/>
              </w:rPr>
            </w:pPr>
            <w:r w:rsidRPr="0064652A">
              <w:rPr>
                <w:color w:val="000000"/>
                <w:sz w:val="20"/>
                <w:szCs w:val="20"/>
              </w:rPr>
              <w:t> </w:t>
            </w:r>
          </w:p>
        </w:tc>
        <w:tc>
          <w:tcPr>
            <w:tcW w:w="50" w:type="pct"/>
            <w:noWrap/>
            <w:tcMar>
              <w:top w:w="5" w:type="dxa"/>
              <w:left w:w="5" w:type="dxa"/>
              <w:bottom w:w="5" w:type="dxa"/>
              <w:right w:w="5" w:type="dxa"/>
            </w:tcMar>
            <w:vAlign w:val="bottom"/>
            <w:hideMark/>
          </w:tcPr>
          <w:p w14:paraId="5A7485A7" w14:textId="77777777" w:rsidR="00C820B8" w:rsidRPr="0064652A" w:rsidRDefault="008D7FC6">
            <w:pPr>
              <w:rPr>
                <w:color w:val="000000"/>
                <w:sz w:val="20"/>
                <w:szCs w:val="20"/>
              </w:rPr>
            </w:pPr>
            <w:r w:rsidRPr="0064652A">
              <w:rPr>
                <w:color w:val="000000"/>
                <w:sz w:val="20"/>
                <w:szCs w:val="20"/>
              </w:rPr>
              <w:t> </w:t>
            </w:r>
          </w:p>
        </w:tc>
      </w:tr>
      <w:tr w:rsidR="00C820B8" w:rsidRPr="0064652A" w14:paraId="39B38932" w14:textId="77777777">
        <w:tc>
          <w:tcPr>
            <w:tcW w:w="0" w:type="auto"/>
            <w:tcMar>
              <w:top w:w="5" w:type="dxa"/>
              <w:left w:w="5" w:type="dxa"/>
              <w:bottom w:w="5" w:type="dxa"/>
              <w:right w:w="5" w:type="dxa"/>
            </w:tcMar>
            <w:vAlign w:val="bottom"/>
            <w:hideMark/>
          </w:tcPr>
          <w:p w14:paraId="60C13803" w14:textId="77777777" w:rsidR="00C820B8" w:rsidRPr="0064652A" w:rsidRDefault="008D7FC6">
            <w:pPr>
              <w:rPr>
                <w:color w:val="000000"/>
                <w:sz w:val="20"/>
                <w:szCs w:val="20"/>
              </w:rPr>
            </w:pPr>
            <w:r w:rsidRPr="0064652A">
              <w:rPr>
                <w:color w:val="000000"/>
                <w:sz w:val="20"/>
                <w:szCs w:val="20"/>
              </w:rPr>
              <w:t>The supplemental cash flow information related to leases are as follows:</w:t>
            </w:r>
          </w:p>
        </w:tc>
        <w:tc>
          <w:tcPr>
            <w:tcW w:w="0" w:type="auto"/>
            <w:tcMar>
              <w:top w:w="5" w:type="dxa"/>
              <w:left w:w="5" w:type="dxa"/>
              <w:bottom w:w="5" w:type="dxa"/>
              <w:right w:w="5" w:type="dxa"/>
            </w:tcMar>
            <w:vAlign w:val="bottom"/>
            <w:hideMark/>
          </w:tcPr>
          <w:p w14:paraId="6F8EC54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333D84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6FC72A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DC77B96"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8DCFA3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076F55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EAE74F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5C97B86"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D94971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874941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B62D8B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A2045C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32111B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6B0BAE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4FFC0B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291AD55" w14:textId="77777777" w:rsidR="00C820B8" w:rsidRPr="0064652A" w:rsidRDefault="008D7FC6">
            <w:pPr>
              <w:rPr>
                <w:color w:val="000000"/>
                <w:sz w:val="20"/>
                <w:szCs w:val="20"/>
              </w:rPr>
            </w:pPr>
            <w:r w:rsidRPr="0064652A">
              <w:rPr>
                <w:color w:val="000000"/>
                <w:sz w:val="20"/>
                <w:szCs w:val="20"/>
              </w:rPr>
              <w:t> </w:t>
            </w:r>
          </w:p>
        </w:tc>
      </w:tr>
      <w:tr w:rsidR="00C820B8" w:rsidRPr="0064652A" w14:paraId="3789FA28" w14:textId="77777777">
        <w:tc>
          <w:tcPr>
            <w:tcW w:w="0" w:type="auto"/>
            <w:tcMar>
              <w:top w:w="5" w:type="dxa"/>
              <w:left w:w="5" w:type="dxa"/>
              <w:bottom w:w="5" w:type="dxa"/>
              <w:right w:w="5" w:type="dxa"/>
            </w:tcMar>
            <w:vAlign w:val="bottom"/>
            <w:hideMark/>
          </w:tcPr>
          <w:p w14:paraId="37A30B8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4FEBF2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BF8AF2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E63956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D665E8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B45A5B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9F3C95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8807A6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3E4B33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7BCDB4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3348AB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1BA14C7"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ABBD3A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2B3CB2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6861A1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1A4E78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E5254BE" w14:textId="77777777" w:rsidR="00C820B8" w:rsidRPr="0064652A" w:rsidRDefault="008D7FC6">
            <w:pPr>
              <w:rPr>
                <w:color w:val="000000"/>
                <w:sz w:val="20"/>
                <w:szCs w:val="20"/>
              </w:rPr>
            </w:pPr>
            <w:r w:rsidRPr="0064652A">
              <w:rPr>
                <w:color w:val="000000"/>
                <w:sz w:val="20"/>
                <w:szCs w:val="20"/>
              </w:rPr>
              <w:t> </w:t>
            </w:r>
          </w:p>
        </w:tc>
      </w:tr>
      <w:tr w:rsidR="00C820B8" w:rsidRPr="0064652A" w14:paraId="33D5D48D" w14:textId="77777777">
        <w:tc>
          <w:tcPr>
            <w:tcW w:w="0" w:type="auto"/>
            <w:tcMar>
              <w:top w:w="5" w:type="dxa"/>
              <w:left w:w="5" w:type="dxa"/>
              <w:bottom w:w="5" w:type="dxa"/>
              <w:right w:w="5" w:type="dxa"/>
            </w:tcMar>
            <w:vAlign w:val="bottom"/>
            <w:hideMark/>
          </w:tcPr>
          <w:p w14:paraId="434E9132" w14:textId="77777777" w:rsidR="00C820B8" w:rsidRPr="0064652A" w:rsidRDefault="008D7FC6">
            <w:pPr>
              <w:rPr>
                <w:color w:val="000000"/>
                <w:sz w:val="20"/>
                <w:szCs w:val="20"/>
              </w:rPr>
            </w:pPr>
            <w:r w:rsidRPr="0064652A">
              <w:rPr>
                <w:b/>
                <w:bCs/>
                <w:color w:val="000000"/>
                <w:sz w:val="20"/>
                <w:szCs w:val="20"/>
              </w:rPr>
              <w:t>Cash paid for amounts included in the measurement of lease liabilities:</w:t>
            </w:r>
          </w:p>
        </w:tc>
        <w:tc>
          <w:tcPr>
            <w:tcW w:w="0" w:type="auto"/>
            <w:tcMar>
              <w:top w:w="5" w:type="dxa"/>
              <w:left w:w="5" w:type="dxa"/>
              <w:bottom w:w="5" w:type="dxa"/>
              <w:right w:w="5" w:type="dxa"/>
            </w:tcMar>
            <w:vAlign w:val="bottom"/>
            <w:hideMark/>
          </w:tcPr>
          <w:p w14:paraId="3824FBA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DD6793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7F4835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A5EF346"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57A7A26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50DA7A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7E4820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45D7619"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70888D5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1A286B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317D58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4687AB6"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07384E9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62BD2B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A3FAAD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789FDAD" w14:textId="77777777" w:rsidR="00C820B8" w:rsidRPr="0064652A" w:rsidRDefault="008D7FC6">
            <w:pPr>
              <w:rPr>
                <w:color w:val="000000"/>
                <w:sz w:val="20"/>
                <w:szCs w:val="20"/>
              </w:rPr>
            </w:pPr>
            <w:r w:rsidRPr="0064652A">
              <w:rPr>
                <w:b/>
                <w:bCs/>
                <w:color w:val="000000"/>
                <w:sz w:val="20"/>
                <w:szCs w:val="20"/>
              </w:rPr>
              <w:t> </w:t>
            </w:r>
          </w:p>
        </w:tc>
      </w:tr>
      <w:tr w:rsidR="00C820B8" w:rsidRPr="0064652A" w14:paraId="74B409FF" w14:textId="77777777">
        <w:tc>
          <w:tcPr>
            <w:tcW w:w="0" w:type="auto"/>
            <w:tcMar>
              <w:top w:w="5" w:type="dxa"/>
              <w:left w:w="5" w:type="dxa"/>
              <w:bottom w:w="5" w:type="dxa"/>
              <w:right w:w="5" w:type="dxa"/>
            </w:tcMar>
            <w:vAlign w:val="bottom"/>
            <w:hideMark/>
          </w:tcPr>
          <w:p w14:paraId="2D4804FC" w14:textId="77777777" w:rsidR="00C820B8" w:rsidRPr="0064652A" w:rsidRDefault="008D7FC6">
            <w:pPr>
              <w:ind w:left="180"/>
              <w:rPr>
                <w:color w:val="000000"/>
                <w:sz w:val="20"/>
                <w:szCs w:val="20"/>
              </w:rPr>
            </w:pPr>
            <w:r w:rsidRPr="0064652A">
              <w:rPr>
                <w:color w:val="000000"/>
                <w:sz w:val="20"/>
                <w:szCs w:val="20"/>
              </w:rPr>
              <w:t>Operating cash flows from operating leases</w:t>
            </w:r>
          </w:p>
        </w:tc>
        <w:tc>
          <w:tcPr>
            <w:tcW w:w="50" w:type="pct"/>
            <w:tcMar>
              <w:top w:w="5" w:type="dxa"/>
              <w:left w:w="5" w:type="dxa"/>
              <w:bottom w:w="5" w:type="dxa"/>
              <w:right w:w="5" w:type="dxa"/>
            </w:tcMar>
            <w:vAlign w:val="bottom"/>
            <w:hideMark/>
          </w:tcPr>
          <w:p w14:paraId="3EF3F04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F554DCD"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769676EE" w14:textId="77777777" w:rsidR="00C820B8" w:rsidRPr="0064652A" w:rsidRDefault="008D7FC6">
            <w:pPr>
              <w:jc w:val="right"/>
              <w:rPr>
                <w:color w:val="000000"/>
                <w:sz w:val="20"/>
                <w:szCs w:val="20"/>
              </w:rPr>
            </w:pPr>
            <w:r w:rsidRPr="0064652A">
              <w:rPr>
                <w:color w:val="000000"/>
                <w:sz w:val="20"/>
                <w:szCs w:val="20"/>
              </w:rPr>
              <w:t>43</w:t>
            </w:r>
          </w:p>
        </w:tc>
        <w:tc>
          <w:tcPr>
            <w:tcW w:w="50" w:type="pct"/>
            <w:noWrap/>
            <w:tcMar>
              <w:top w:w="5" w:type="dxa"/>
              <w:left w:w="5" w:type="dxa"/>
              <w:bottom w:w="5" w:type="dxa"/>
              <w:right w:w="5" w:type="dxa"/>
            </w:tcMar>
            <w:vAlign w:val="bottom"/>
            <w:hideMark/>
          </w:tcPr>
          <w:p w14:paraId="055D70E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CC17C9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5D4FCC0"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66F13A93" w14:textId="77777777" w:rsidR="00C820B8" w:rsidRPr="0064652A" w:rsidRDefault="008D7FC6">
            <w:pPr>
              <w:jc w:val="right"/>
              <w:rPr>
                <w:color w:val="000000"/>
                <w:sz w:val="20"/>
                <w:szCs w:val="20"/>
              </w:rPr>
            </w:pPr>
            <w:r w:rsidRPr="0064652A">
              <w:rPr>
                <w:color w:val="000000"/>
                <w:sz w:val="20"/>
                <w:szCs w:val="20"/>
              </w:rPr>
              <w:t>62</w:t>
            </w:r>
          </w:p>
        </w:tc>
        <w:tc>
          <w:tcPr>
            <w:tcW w:w="50" w:type="pct"/>
            <w:noWrap/>
            <w:tcMar>
              <w:top w:w="5" w:type="dxa"/>
              <w:left w:w="5" w:type="dxa"/>
              <w:bottom w:w="5" w:type="dxa"/>
              <w:right w:w="5" w:type="dxa"/>
            </w:tcMar>
            <w:vAlign w:val="bottom"/>
            <w:hideMark/>
          </w:tcPr>
          <w:p w14:paraId="4F60F7A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609FB9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804B61A"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47CAE7C6" w14:textId="77777777" w:rsidR="00C820B8" w:rsidRPr="0064652A" w:rsidRDefault="008D7FC6">
            <w:pPr>
              <w:jc w:val="right"/>
              <w:rPr>
                <w:color w:val="000000"/>
                <w:sz w:val="20"/>
                <w:szCs w:val="20"/>
              </w:rPr>
            </w:pPr>
            <w:r w:rsidRPr="0064652A">
              <w:rPr>
                <w:color w:val="000000"/>
                <w:sz w:val="20"/>
                <w:szCs w:val="20"/>
              </w:rPr>
              <w:t>123</w:t>
            </w:r>
          </w:p>
        </w:tc>
        <w:tc>
          <w:tcPr>
            <w:tcW w:w="50" w:type="pct"/>
            <w:noWrap/>
            <w:tcMar>
              <w:top w:w="5" w:type="dxa"/>
              <w:left w:w="5" w:type="dxa"/>
              <w:bottom w:w="5" w:type="dxa"/>
              <w:right w:w="5" w:type="dxa"/>
            </w:tcMar>
            <w:vAlign w:val="bottom"/>
            <w:hideMark/>
          </w:tcPr>
          <w:p w14:paraId="4E2A791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E7418E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6EB726A"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21911DF5" w14:textId="77777777" w:rsidR="00C820B8" w:rsidRPr="0064652A" w:rsidRDefault="008D7FC6">
            <w:pPr>
              <w:jc w:val="right"/>
              <w:rPr>
                <w:color w:val="000000"/>
                <w:sz w:val="20"/>
                <w:szCs w:val="20"/>
              </w:rPr>
            </w:pPr>
            <w:r w:rsidRPr="0064652A">
              <w:rPr>
                <w:color w:val="000000"/>
                <w:sz w:val="20"/>
                <w:szCs w:val="20"/>
              </w:rPr>
              <w:t>187</w:t>
            </w:r>
          </w:p>
        </w:tc>
        <w:tc>
          <w:tcPr>
            <w:tcW w:w="50" w:type="pct"/>
            <w:noWrap/>
            <w:tcMar>
              <w:top w:w="5" w:type="dxa"/>
              <w:left w:w="5" w:type="dxa"/>
              <w:bottom w:w="5" w:type="dxa"/>
              <w:right w:w="5" w:type="dxa"/>
            </w:tcMar>
            <w:vAlign w:val="bottom"/>
            <w:hideMark/>
          </w:tcPr>
          <w:p w14:paraId="5737047D" w14:textId="77777777" w:rsidR="00C820B8" w:rsidRPr="0064652A" w:rsidRDefault="008D7FC6">
            <w:pPr>
              <w:rPr>
                <w:color w:val="000000"/>
                <w:sz w:val="20"/>
                <w:szCs w:val="20"/>
              </w:rPr>
            </w:pPr>
            <w:r w:rsidRPr="0064652A">
              <w:rPr>
                <w:color w:val="000000"/>
                <w:sz w:val="20"/>
                <w:szCs w:val="20"/>
              </w:rPr>
              <w:t> </w:t>
            </w:r>
          </w:p>
        </w:tc>
      </w:tr>
      <w:tr w:rsidR="00C820B8" w:rsidRPr="0064652A" w14:paraId="6EA98C42" w14:textId="77777777">
        <w:tc>
          <w:tcPr>
            <w:tcW w:w="0" w:type="auto"/>
            <w:tcMar>
              <w:top w:w="5" w:type="dxa"/>
              <w:left w:w="5" w:type="dxa"/>
              <w:bottom w:w="5" w:type="dxa"/>
              <w:right w:w="5" w:type="dxa"/>
            </w:tcMar>
            <w:vAlign w:val="bottom"/>
            <w:hideMark/>
          </w:tcPr>
          <w:p w14:paraId="39F06CA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784330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5A68BE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15105A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C52225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5FB710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A2C70F6"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5F66F9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A241F7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6D70A3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2B0BE6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185FD2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C4E1C7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BA78DEC"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5FC7E8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28E310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3FB66F4" w14:textId="77777777" w:rsidR="00C820B8" w:rsidRPr="0064652A" w:rsidRDefault="008D7FC6">
            <w:pPr>
              <w:rPr>
                <w:color w:val="000000"/>
                <w:sz w:val="20"/>
                <w:szCs w:val="20"/>
              </w:rPr>
            </w:pPr>
            <w:r w:rsidRPr="0064652A">
              <w:rPr>
                <w:color w:val="000000"/>
                <w:sz w:val="20"/>
                <w:szCs w:val="20"/>
              </w:rPr>
              <w:t> </w:t>
            </w:r>
          </w:p>
        </w:tc>
      </w:tr>
      <w:tr w:rsidR="00C820B8" w:rsidRPr="0064652A" w14:paraId="7FFE5A4D" w14:textId="77777777">
        <w:tc>
          <w:tcPr>
            <w:tcW w:w="0" w:type="auto"/>
            <w:tcMar>
              <w:top w:w="5" w:type="dxa"/>
              <w:left w:w="5" w:type="dxa"/>
              <w:bottom w:w="5" w:type="dxa"/>
              <w:right w:w="5" w:type="dxa"/>
            </w:tcMar>
            <w:vAlign w:val="bottom"/>
            <w:hideMark/>
          </w:tcPr>
          <w:p w14:paraId="7976B636" w14:textId="77777777" w:rsidR="00C820B8" w:rsidRPr="0064652A" w:rsidRDefault="008D7FC6">
            <w:pPr>
              <w:rPr>
                <w:color w:val="000000"/>
                <w:sz w:val="20"/>
                <w:szCs w:val="20"/>
              </w:rPr>
            </w:pPr>
            <w:r w:rsidRPr="0064652A">
              <w:rPr>
                <w:b/>
                <w:bCs/>
                <w:color w:val="000000"/>
                <w:sz w:val="20"/>
                <w:szCs w:val="20"/>
              </w:rPr>
              <w:t>Right-of-use assets obtained in exchange for lease obligations:</w:t>
            </w:r>
          </w:p>
        </w:tc>
        <w:tc>
          <w:tcPr>
            <w:tcW w:w="0" w:type="auto"/>
            <w:tcMar>
              <w:top w:w="5" w:type="dxa"/>
              <w:left w:w="5" w:type="dxa"/>
              <w:bottom w:w="5" w:type="dxa"/>
              <w:right w:w="5" w:type="dxa"/>
            </w:tcMar>
            <w:vAlign w:val="bottom"/>
            <w:hideMark/>
          </w:tcPr>
          <w:p w14:paraId="5A3927B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DB6235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F76F52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1A8DC7A"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461EE3F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A1CB56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A671B16"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086F475"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645D01B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F16F7A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F27DAC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6FFAEC0"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19DFBBA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72F4046"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AC19D4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0BAF964" w14:textId="77777777" w:rsidR="00C820B8" w:rsidRPr="0064652A" w:rsidRDefault="008D7FC6">
            <w:pPr>
              <w:rPr>
                <w:color w:val="000000"/>
                <w:sz w:val="20"/>
                <w:szCs w:val="20"/>
              </w:rPr>
            </w:pPr>
            <w:r w:rsidRPr="0064652A">
              <w:rPr>
                <w:b/>
                <w:bCs/>
                <w:color w:val="000000"/>
                <w:sz w:val="20"/>
                <w:szCs w:val="20"/>
              </w:rPr>
              <w:t> </w:t>
            </w:r>
          </w:p>
        </w:tc>
      </w:tr>
      <w:tr w:rsidR="00C820B8" w:rsidRPr="0064652A" w14:paraId="50FB6BA3" w14:textId="77777777">
        <w:tc>
          <w:tcPr>
            <w:tcW w:w="0" w:type="auto"/>
            <w:tcMar>
              <w:top w:w="5" w:type="dxa"/>
              <w:left w:w="5" w:type="dxa"/>
              <w:bottom w:w="5" w:type="dxa"/>
              <w:right w:w="5" w:type="dxa"/>
            </w:tcMar>
            <w:vAlign w:val="bottom"/>
            <w:hideMark/>
          </w:tcPr>
          <w:p w14:paraId="5BDB282B" w14:textId="77777777" w:rsidR="00C820B8" w:rsidRPr="0064652A" w:rsidRDefault="008D7FC6">
            <w:pPr>
              <w:ind w:left="180"/>
              <w:rPr>
                <w:color w:val="000000"/>
                <w:sz w:val="20"/>
                <w:szCs w:val="20"/>
              </w:rPr>
            </w:pPr>
            <w:r w:rsidRPr="0064652A">
              <w:rPr>
                <w:color w:val="000000"/>
                <w:sz w:val="20"/>
                <w:szCs w:val="20"/>
              </w:rPr>
              <w:t>Operating leases</w:t>
            </w:r>
          </w:p>
        </w:tc>
        <w:tc>
          <w:tcPr>
            <w:tcW w:w="50" w:type="pct"/>
            <w:tcMar>
              <w:top w:w="5" w:type="dxa"/>
              <w:left w:w="5" w:type="dxa"/>
              <w:bottom w:w="5" w:type="dxa"/>
              <w:right w:w="5" w:type="dxa"/>
            </w:tcMar>
            <w:vAlign w:val="bottom"/>
            <w:hideMark/>
          </w:tcPr>
          <w:p w14:paraId="01A0DE8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3869467"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2CF7EA58"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3DE5F66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A2B2AC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5158DA8"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46E82CB0"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540740C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54D71F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7197F0B"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282BCE4C" w14:textId="77777777" w:rsidR="00C820B8" w:rsidRPr="0064652A" w:rsidRDefault="008D7FC6">
            <w:pPr>
              <w:jc w:val="right"/>
              <w:rPr>
                <w:color w:val="000000"/>
                <w:sz w:val="20"/>
                <w:szCs w:val="20"/>
              </w:rPr>
            </w:pPr>
            <w:r w:rsidRPr="0064652A">
              <w:rPr>
                <w:color w:val="000000"/>
                <w:sz w:val="20"/>
                <w:szCs w:val="20"/>
              </w:rPr>
              <w:t>248</w:t>
            </w:r>
          </w:p>
        </w:tc>
        <w:tc>
          <w:tcPr>
            <w:tcW w:w="50" w:type="pct"/>
            <w:noWrap/>
            <w:tcMar>
              <w:top w:w="5" w:type="dxa"/>
              <w:left w:w="5" w:type="dxa"/>
              <w:bottom w:w="5" w:type="dxa"/>
              <w:right w:w="5" w:type="dxa"/>
            </w:tcMar>
            <w:vAlign w:val="bottom"/>
            <w:hideMark/>
          </w:tcPr>
          <w:p w14:paraId="3395F27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A842D5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BCCB946"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57EC9BA1"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2B1B4A3A" w14:textId="77777777" w:rsidR="00C820B8" w:rsidRPr="0064652A" w:rsidRDefault="008D7FC6">
            <w:pPr>
              <w:rPr>
                <w:color w:val="000000"/>
                <w:sz w:val="20"/>
                <w:szCs w:val="20"/>
              </w:rPr>
            </w:pPr>
            <w:r w:rsidRPr="0064652A">
              <w:rPr>
                <w:color w:val="000000"/>
                <w:sz w:val="20"/>
                <w:szCs w:val="20"/>
              </w:rPr>
              <w:t> </w:t>
            </w:r>
          </w:p>
        </w:tc>
      </w:tr>
      <w:tr w:rsidR="00C820B8" w:rsidRPr="0064652A" w14:paraId="55E0F8D5" w14:textId="77777777">
        <w:tc>
          <w:tcPr>
            <w:tcW w:w="0" w:type="auto"/>
            <w:tcMar>
              <w:top w:w="5" w:type="dxa"/>
              <w:left w:w="5" w:type="dxa"/>
              <w:bottom w:w="5" w:type="dxa"/>
              <w:right w:w="5" w:type="dxa"/>
            </w:tcMar>
            <w:vAlign w:val="bottom"/>
            <w:hideMark/>
          </w:tcPr>
          <w:p w14:paraId="585D1A84" w14:textId="77777777" w:rsidR="00C820B8" w:rsidRPr="0064652A" w:rsidRDefault="008D7FC6">
            <w:pPr>
              <w:ind w:left="180"/>
              <w:rPr>
                <w:color w:val="000000"/>
                <w:sz w:val="20"/>
                <w:szCs w:val="20"/>
              </w:rPr>
            </w:pPr>
            <w:r w:rsidRPr="0064652A">
              <w:rPr>
                <w:color w:val="000000"/>
                <w:sz w:val="20"/>
                <w:szCs w:val="20"/>
              </w:rPr>
              <w:t>Finance leases</w:t>
            </w:r>
          </w:p>
        </w:tc>
        <w:tc>
          <w:tcPr>
            <w:tcW w:w="50" w:type="pct"/>
            <w:tcMar>
              <w:top w:w="5" w:type="dxa"/>
              <w:left w:w="5" w:type="dxa"/>
              <w:bottom w:w="5" w:type="dxa"/>
              <w:right w:w="5" w:type="dxa"/>
            </w:tcMar>
            <w:vAlign w:val="bottom"/>
            <w:hideMark/>
          </w:tcPr>
          <w:p w14:paraId="06CF0CA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02610B4"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5F5BAAA5"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5AAE734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18A385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EA187D3"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75E49878"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5DBA263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959A25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EB5B595"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6C03BDAA"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669006D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E64198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1348107" w14:textId="77777777" w:rsidR="00C820B8" w:rsidRPr="0064652A" w:rsidRDefault="008D7FC6">
            <w:pPr>
              <w:rPr>
                <w:color w:val="000000"/>
                <w:sz w:val="20"/>
                <w:szCs w:val="20"/>
              </w:rPr>
            </w:pPr>
            <w:r w:rsidRPr="0064652A">
              <w:rPr>
                <w:color w:val="000000"/>
                <w:sz w:val="20"/>
                <w:szCs w:val="20"/>
              </w:rPr>
              <w:t> </w:t>
            </w:r>
          </w:p>
        </w:tc>
        <w:tc>
          <w:tcPr>
            <w:tcW w:w="450" w:type="pct"/>
            <w:tcMar>
              <w:top w:w="5" w:type="dxa"/>
              <w:left w:w="5" w:type="dxa"/>
              <w:bottom w:w="5" w:type="dxa"/>
              <w:right w:w="5" w:type="dxa"/>
            </w:tcMar>
            <w:vAlign w:val="bottom"/>
            <w:hideMark/>
          </w:tcPr>
          <w:p w14:paraId="76469E5D"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0E36582A" w14:textId="77777777" w:rsidR="00C820B8" w:rsidRPr="0064652A" w:rsidRDefault="008D7FC6">
            <w:pPr>
              <w:rPr>
                <w:color w:val="000000"/>
                <w:sz w:val="20"/>
                <w:szCs w:val="20"/>
              </w:rPr>
            </w:pPr>
            <w:r w:rsidRPr="0064652A">
              <w:rPr>
                <w:color w:val="000000"/>
                <w:sz w:val="20"/>
                <w:szCs w:val="20"/>
              </w:rPr>
              <w:t> </w:t>
            </w:r>
          </w:p>
        </w:tc>
      </w:tr>
    </w:tbl>
    <w:p w14:paraId="32B6D859" w14:textId="77777777" w:rsidR="00C820B8" w:rsidRPr="0064652A" w:rsidRDefault="008D7FC6">
      <w:pPr>
        <w:ind w:firstLine="500"/>
        <w:rPr>
          <w:sz w:val="20"/>
          <w:szCs w:val="20"/>
        </w:rPr>
      </w:pPr>
      <w:r w:rsidRPr="0064652A">
        <w:rPr>
          <w:sz w:val="20"/>
          <w:szCs w:val="20"/>
        </w:rPr>
        <w:t> </w:t>
      </w:r>
    </w:p>
    <w:p w14:paraId="2B96A76C" w14:textId="77777777" w:rsidR="00C820B8" w:rsidRPr="0064652A" w:rsidRDefault="008D7FC6">
      <w:pPr>
        <w:rPr>
          <w:sz w:val="20"/>
          <w:szCs w:val="20"/>
        </w:rPr>
      </w:pPr>
      <w:r w:rsidRPr="0064652A">
        <w:rPr>
          <w:b/>
          <w:bCs/>
          <w:sz w:val="20"/>
          <w:szCs w:val="20"/>
        </w:rPr>
        <w:t>Information relating to the lease term and discount rate are as follows:</w:t>
      </w:r>
    </w:p>
    <w:p w14:paraId="4DA1B2F3" w14:textId="77777777" w:rsidR="00C820B8" w:rsidRPr="0064652A" w:rsidRDefault="008D7FC6">
      <w:pPr>
        <w:rPr>
          <w:sz w:val="20"/>
          <w:szCs w:val="20"/>
        </w:rPr>
      </w:pPr>
      <w:r w:rsidRPr="0064652A">
        <w:rPr>
          <w:sz w:val="20"/>
          <w:szCs w:val="20"/>
        </w:rPr>
        <w:t> </w:t>
      </w:r>
    </w:p>
    <w:tbl>
      <w:tblPr>
        <w:tblStyle w:val="finTable"/>
        <w:tblW w:w="5000" w:type="pct"/>
        <w:tblInd w:w="5" w:type="dxa"/>
        <w:tblCellMar>
          <w:left w:w="0" w:type="dxa"/>
          <w:right w:w="0" w:type="dxa"/>
        </w:tblCellMar>
        <w:tblLook w:val="05E0" w:firstRow="1" w:lastRow="1" w:firstColumn="1" w:lastColumn="1" w:noHBand="0" w:noVBand="1"/>
      </w:tblPr>
      <w:tblGrid>
        <w:gridCol w:w="7540"/>
        <w:gridCol w:w="88"/>
        <w:gridCol w:w="88"/>
        <w:gridCol w:w="1276"/>
        <w:gridCol w:w="177"/>
        <w:gridCol w:w="88"/>
        <w:gridCol w:w="89"/>
        <w:gridCol w:w="1277"/>
        <w:gridCol w:w="177"/>
      </w:tblGrid>
      <w:tr w:rsidR="00C820B8" w:rsidRPr="0064652A" w14:paraId="3334F8BB" w14:textId="77777777">
        <w:tc>
          <w:tcPr>
            <w:tcW w:w="3500" w:type="pct"/>
            <w:tcMar>
              <w:top w:w="5" w:type="dxa"/>
              <w:left w:w="5" w:type="dxa"/>
              <w:bottom w:w="5" w:type="dxa"/>
              <w:right w:w="5" w:type="dxa"/>
            </w:tcMar>
            <w:vAlign w:val="bottom"/>
            <w:hideMark/>
          </w:tcPr>
          <w:p w14:paraId="4F5AF083" w14:textId="77777777" w:rsidR="00C820B8" w:rsidRPr="0064652A" w:rsidRDefault="008D7FC6">
            <w:pPr>
              <w:rPr>
                <w:color w:val="000000"/>
                <w:sz w:val="20"/>
                <w:szCs w:val="20"/>
              </w:rPr>
            </w:pPr>
            <w:r w:rsidRPr="0064652A">
              <w:rPr>
                <w:b/>
                <w:bCs/>
                <w:color w:val="000000"/>
                <w:sz w:val="20"/>
                <w:szCs w:val="20"/>
              </w:rPr>
              <w:t>Weighted average remaining lease term (in months)</w:t>
            </w:r>
          </w:p>
        </w:tc>
        <w:tc>
          <w:tcPr>
            <w:tcW w:w="0" w:type="auto"/>
            <w:tcMar>
              <w:top w:w="5" w:type="dxa"/>
              <w:left w:w="5" w:type="dxa"/>
              <w:bottom w:w="5" w:type="dxa"/>
              <w:right w:w="5" w:type="dxa"/>
            </w:tcMar>
            <w:vAlign w:val="bottom"/>
            <w:hideMark/>
          </w:tcPr>
          <w:p w14:paraId="6EC9C26E"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D34E4EE" w14:textId="77777777" w:rsidR="00C820B8" w:rsidRPr="0064652A" w:rsidRDefault="008D7FC6">
            <w:pPr>
              <w:jc w:val="center"/>
              <w:rPr>
                <w:color w:val="000000"/>
                <w:sz w:val="20"/>
                <w:szCs w:val="20"/>
              </w:rPr>
            </w:pPr>
            <w:r w:rsidRPr="0064652A">
              <w:rPr>
                <w:b/>
                <w:bCs/>
                <w:color w:val="000000"/>
                <w:sz w:val="20"/>
                <w:szCs w:val="20"/>
              </w:rPr>
              <w:t>As of December 31, 2023</w:t>
            </w:r>
          </w:p>
        </w:tc>
        <w:tc>
          <w:tcPr>
            <w:tcW w:w="0" w:type="auto"/>
            <w:tcMar>
              <w:top w:w="5" w:type="dxa"/>
              <w:left w:w="5" w:type="dxa"/>
              <w:bottom w:w="20" w:type="dxa"/>
              <w:right w:w="5" w:type="dxa"/>
            </w:tcMar>
            <w:vAlign w:val="bottom"/>
            <w:hideMark/>
          </w:tcPr>
          <w:p w14:paraId="013F58C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63C92DE"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CDB35AE" w14:textId="77777777" w:rsidR="00C820B8" w:rsidRPr="0064652A" w:rsidRDefault="008D7FC6">
            <w:pPr>
              <w:jc w:val="center"/>
              <w:rPr>
                <w:color w:val="000000"/>
                <w:sz w:val="20"/>
                <w:szCs w:val="20"/>
              </w:rPr>
            </w:pPr>
            <w:r w:rsidRPr="0064652A">
              <w:rPr>
                <w:b/>
                <w:bCs/>
                <w:color w:val="000000"/>
                <w:sz w:val="20"/>
                <w:szCs w:val="20"/>
              </w:rPr>
              <w:t>As of December 31, 2022</w:t>
            </w:r>
          </w:p>
        </w:tc>
        <w:tc>
          <w:tcPr>
            <w:tcW w:w="0" w:type="auto"/>
            <w:tcMar>
              <w:top w:w="5" w:type="dxa"/>
              <w:left w:w="5" w:type="dxa"/>
              <w:bottom w:w="20" w:type="dxa"/>
              <w:right w:w="5" w:type="dxa"/>
            </w:tcMar>
            <w:vAlign w:val="bottom"/>
            <w:hideMark/>
          </w:tcPr>
          <w:p w14:paraId="50A709EF" w14:textId="77777777" w:rsidR="00C820B8" w:rsidRPr="0064652A" w:rsidRDefault="008D7FC6">
            <w:pPr>
              <w:rPr>
                <w:color w:val="000000"/>
                <w:sz w:val="20"/>
                <w:szCs w:val="20"/>
              </w:rPr>
            </w:pPr>
            <w:r w:rsidRPr="0064652A">
              <w:rPr>
                <w:color w:val="000000"/>
                <w:sz w:val="20"/>
                <w:szCs w:val="20"/>
              </w:rPr>
              <w:t> </w:t>
            </w:r>
          </w:p>
        </w:tc>
      </w:tr>
      <w:tr w:rsidR="00C820B8" w:rsidRPr="0064652A" w14:paraId="7DAB6773" w14:textId="77777777">
        <w:tc>
          <w:tcPr>
            <w:tcW w:w="0" w:type="auto"/>
            <w:tcMar>
              <w:top w:w="5" w:type="dxa"/>
              <w:left w:w="5" w:type="dxa"/>
              <w:bottom w:w="5" w:type="dxa"/>
              <w:right w:w="5" w:type="dxa"/>
            </w:tcMar>
            <w:vAlign w:val="bottom"/>
            <w:hideMark/>
          </w:tcPr>
          <w:p w14:paraId="1236EEC9" w14:textId="77777777" w:rsidR="00C820B8" w:rsidRPr="0064652A" w:rsidRDefault="008D7FC6">
            <w:pPr>
              <w:ind w:left="180"/>
              <w:rPr>
                <w:color w:val="000000"/>
                <w:sz w:val="20"/>
                <w:szCs w:val="20"/>
              </w:rPr>
            </w:pPr>
            <w:r w:rsidRPr="0064652A">
              <w:rPr>
                <w:color w:val="000000"/>
                <w:sz w:val="20"/>
                <w:szCs w:val="20"/>
              </w:rPr>
              <w:t>Operating leases</w:t>
            </w:r>
          </w:p>
        </w:tc>
        <w:tc>
          <w:tcPr>
            <w:tcW w:w="50" w:type="pct"/>
            <w:tcMar>
              <w:top w:w="5" w:type="dxa"/>
              <w:left w:w="5" w:type="dxa"/>
              <w:bottom w:w="5" w:type="dxa"/>
              <w:right w:w="5" w:type="dxa"/>
            </w:tcMar>
            <w:vAlign w:val="bottom"/>
            <w:hideMark/>
          </w:tcPr>
          <w:p w14:paraId="6073481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1A2A275"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73F2A23" w14:textId="77777777" w:rsidR="00C820B8" w:rsidRPr="0064652A" w:rsidRDefault="008D7FC6">
            <w:pPr>
              <w:jc w:val="right"/>
              <w:rPr>
                <w:color w:val="000000"/>
                <w:sz w:val="20"/>
                <w:szCs w:val="20"/>
              </w:rPr>
            </w:pPr>
            <w:r w:rsidRPr="0064652A">
              <w:rPr>
                <w:color w:val="000000"/>
                <w:sz w:val="20"/>
                <w:szCs w:val="20"/>
              </w:rPr>
              <w:t>44.7</w:t>
            </w:r>
          </w:p>
        </w:tc>
        <w:tc>
          <w:tcPr>
            <w:tcW w:w="50" w:type="pct"/>
            <w:noWrap/>
            <w:tcMar>
              <w:top w:w="5" w:type="dxa"/>
              <w:left w:w="5" w:type="dxa"/>
              <w:bottom w:w="5" w:type="dxa"/>
              <w:right w:w="5" w:type="dxa"/>
            </w:tcMar>
            <w:vAlign w:val="bottom"/>
            <w:hideMark/>
          </w:tcPr>
          <w:p w14:paraId="6D404D1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6D9628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CA60832"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8954B9E" w14:textId="77777777" w:rsidR="00C820B8" w:rsidRPr="0064652A" w:rsidRDefault="008D7FC6">
            <w:pPr>
              <w:jc w:val="right"/>
              <w:rPr>
                <w:color w:val="000000"/>
                <w:sz w:val="20"/>
                <w:szCs w:val="20"/>
              </w:rPr>
            </w:pPr>
            <w:r w:rsidRPr="0064652A">
              <w:rPr>
                <w:color w:val="000000"/>
                <w:sz w:val="20"/>
                <w:szCs w:val="20"/>
              </w:rPr>
              <w:t>18.8</w:t>
            </w:r>
          </w:p>
        </w:tc>
        <w:tc>
          <w:tcPr>
            <w:tcW w:w="50" w:type="pct"/>
            <w:noWrap/>
            <w:tcMar>
              <w:top w:w="5" w:type="dxa"/>
              <w:left w:w="5" w:type="dxa"/>
              <w:bottom w:w="5" w:type="dxa"/>
              <w:right w:w="5" w:type="dxa"/>
            </w:tcMar>
            <w:vAlign w:val="bottom"/>
            <w:hideMark/>
          </w:tcPr>
          <w:p w14:paraId="5282C423" w14:textId="77777777" w:rsidR="00C820B8" w:rsidRPr="0064652A" w:rsidRDefault="008D7FC6">
            <w:pPr>
              <w:rPr>
                <w:color w:val="000000"/>
                <w:sz w:val="20"/>
                <w:szCs w:val="20"/>
              </w:rPr>
            </w:pPr>
            <w:r w:rsidRPr="0064652A">
              <w:rPr>
                <w:color w:val="000000"/>
                <w:sz w:val="20"/>
                <w:szCs w:val="20"/>
              </w:rPr>
              <w:t> </w:t>
            </w:r>
          </w:p>
        </w:tc>
      </w:tr>
      <w:tr w:rsidR="00C820B8" w:rsidRPr="0064652A" w14:paraId="5F29B4A7" w14:textId="77777777">
        <w:tc>
          <w:tcPr>
            <w:tcW w:w="0" w:type="auto"/>
            <w:tcMar>
              <w:top w:w="5" w:type="dxa"/>
              <w:left w:w="5" w:type="dxa"/>
              <w:bottom w:w="5" w:type="dxa"/>
              <w:right w:w="5" w:type="dxa"/>
            </w:tcMar>
            <w:vAlign w:val="bottom"/>
            <w:hideMark/>
          </w:tcPr>
          <w:p w14:paraId="33ACA6D5" w14:textId="77777777" w:rsidR="00C820B8" w:rsidRPr="0064652A" w:rsidRDefault="008D7FC6">
            <w:pPr>
              <w:ind w:left="180"/>
              <w:rPr>
                <w:color w:val="000000"/>
                <w:sz w:val="20"/>
                <w:szCs w:val="20"/>
              </w:rPr>
            </w:pPr>
            <w:r w:rsidRPr="0064652A">
              <w:rPr>
                <w:color w:val="000000"/>
                <w:sz w:val="20"/>
                <w:szCs w:val="20"/>
              </w:rPr>
              <w:t>Finance leases</w:t>
            </w:r>
          </w:p>
        </w:tc>
        <w:tc>
          <w:tcPr>
            <w:tcW w:w="50" w:type="pct"/>
            <w:tcMar>
              <w:top w:w="5" w:type="dxa"/>
              <w:left w:w="5" w:type="dxa"/>
              <w:bottom w:w="5" w:type="dxa"/>
              <w:right w:w="5" w:type="dxa"/>
            </w:tcMar>
            <w:vAlign w:val="bottom"/>
            <w:hideMark/>
          </w:tcPr>
          <w:p w14:paraId="0188FD3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F660309"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078F5FFE" w14:textId="77777777" w:rsidR="00C820B8" w:rsidRPr="0064652A" w:rsidRDefault="008D7FC6">
            <w:pPr>
              <w:jc w:val="right"/>
              <w:rPr>
                <w:color w:val="000000"/>
                <w:sz w:val="20"/>
                <w:szCs w:val="20"/>
              </w:rPr>
            </w:pPr>
            <w:r w:rsidRPr="0064652A">
              <w:rPr>
                <w:color w:val="000000"/>
                <w:sz w:val="20"/>
                <w:szCs w:val="20"/>
              </w:rPr>
              <w:t>5.2</w:t>
            </w:r>
          </w:p>
        </w:tc>
        <w:tc>
          <w:tcPr>
            <w:tcW w:w="50" w:type="pct"/>
            <w:noWrap/>
            <w:tcMar>
              <w:top w:w="5" w:type="dxa"/>
              <w:left w:w="5" w:type="dxa"/>
              <w:bottom w:w="5" w:type="dxa"/>
              <w:right w:w="5" w:type="dxa"/>
            </w:tcMar>
            <w:vAlign w:val="bottom"/>
            <w:hideMark/>
          </w:tcPr>
          <w:p w14:paraId="22624BB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FFEBCE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AA12668"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734B4ABB" w14:textId="77777777" w:rsidR="00C820B8" w:rsidRPr="0064652A" w:rsidRDefault="008D7FC6">
            <w:pPr>
              <w:jc w:val="right"/>
              <w:rPr>
                <w:color w:val="000000"/>
                <w:sz w:val="20"/>
                <w:szCs w:val="20"/>
              </w:rPr>
            </w:pPr>
            <w:r w:rsidRPr="0064652A">
              <w:rPr>
                <w:color w:val="000000"/>
                <w:sz w:val="20"/>
                <w:szCs w:val="20"/>
              </w:rPr>
              <w:t>17.2</w:t>
            </w:r>
          </w:p>
        </w:tc>
        <w:tc>
          <w:tcPr>
            <w:tcW w:w="50" w:type="pct"/>
            <w:noWrap/>
            <w:tcMar>
              <w:top w:w="5" w:type="dxa"/>
              <w:left w:w="5" w:type="dxa"/>
              <w:bottom w:w="5" w:type="dxa"/>
              <w:right w:w="5" w:type="dxa"/>
            </w:tcMar>
            <w:vAlign w:val="bottom"/>
            <w:hideMark/>
          </w:tcPr>
          <w:p w14:paraId="2A7ED7CE" w14:textId="77777777" w:rsidR="00C820B8" w:rsidRPr="0064652A" w:rsidRDefault="008D7FC6">
            <w:pPr>
              <w:rPr>
                <w:color w:val="000000"/>
                <w:sz w:val="20"/>
                <w:szCs w:val="20"/>
              </w:rPr>
            </w:pPr>
            <w:r w:rsidRPr="0064652A">
              <w:rPr>
                <w:color w:val="000000"/>
                <w:sz w:val="20"/>
                <w:szCs w:val="20"/>
              </w:rPr>
              <w:t> </w:t>
            </w:r>
          </w:p>
        </w:tc>
      </w:tr>
      <w:tr w:rsidR="00C820B8" w:rsidRPr="0064652A" w14:paraId="0D666341" w14:textId="77777777">
        <w:tc>
          <w:tcPr>
            <w:tcW w:w="0" w:type="auto"/>
            <w:tcMar>
              <w:top w:w="5" w:type="dxa"/>
              <w:left w:w="5" w:type="dxa"/>
              <w:bottom w:w="5" w:type="dxa"/>
              <w:right w:w="5" w:type="dxa"/>
            </w:tcMar>
            <w:vAlign w:val="bottom"/>
            <w:hideMark/>
          </w:tcPr>
          <w:p w14:paraId="5E045B0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82639F8"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D8AD209"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1A86F2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5BDC4E5"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C37843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8D7476F"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5DC3BE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CF3BB54" w14:textId="77777777" w:rsidR="00C820B8" w:rsidRPr="0064652A" w:rsidRDefault="008D7FC6">
            <w:pPr>
              <w:rPr>
                <w:color w:val="000000"/>
                <w:sz w:val="20"/>
                <w:szCs w:val="20"/>
              </w:rPr>
            </w:pPr>
            <w:r w:rsidRPr="0064652A">
              <w:rPr>
                <w:color w:val="000000"/>
                <w:sz w:val="20"/>
                <w:szCs w:val="20"/>
              </w:rPr>
              <w:t> </w:t>
            </w:r>
          </w:p>
        </w:tc>
      </w:tr>
      <w:tr w:rsidR="00C820B8" w:rsidRPr="0064652A" w14:paraId="2999DC7B" w14:textId="77777777">
        <w:tc>
          <w:tcPr>
            <w:tcW w:w="0" w:type="auto"/>
            <w:tcMar>
              <w:top w:w="5" w:type="dxa"/>
              <w:left w:w="5" w:type="dxa"/>
              <w:bottom w:w="5" w:type="dxa"/>
              <w:right w:w="5" w:type="dxa"/>
            </w:tcMar>
            <w:vAlign w:val="bottom"/>
            <w:hideMark/>
          </w:tcPr>
          <w:p w14:paraId="2BFA7102" w14:textId="77777777" w:rsidR="00C820B8" w:rsidRPr="0064652A" w:rsidRDefault="008D7FC6">
            <w:pPr>
              <w:rPr>
                <w:color w:val="000000"/>
                <w:sz w:val="20"/>
                <w:szCs w:val="20"/>
              </w:rPr>
            </w:pPr>
            <w:r w:rsidRPr="0064652A">
              <w:rPr>
                <w:b/>
                <w:bCs/>
                <w:color w:val="000000"/>
                <w:sz w:val="20"/>
                <w:szCs w:val="20"/>
              </w:rPr>
              <w:t>Weighted average discount rate</w:t>
            </w:r>
          </w:p>
        </w:tc>
        <w:tc>
          <w:tcPr>
            <w:tcW w:w="0" w:type="auto"/>
            <w:tcMar>
              <w:top w:w="5" w:type="dxa"/>
              <w:left w:w="5" w:type="dxa"/>
              <w:bottom w:w="5" w:type="dxa"/>
              <w:right w:w="5" w:type="dxa"/>
            </w:tcMar>
            <w:vAlign w:val="bottom"/>
            <w:hideMark/>
          </w:tcPr>
          <w:p w14:paraId="41CE1CA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B2D7AE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AD1842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12C8A764" w14:textId="77777777" w:rsidR="00C820B8" w:rsidRPr="0064652A" w:rsidRDefault="008D7FC6">
            <w:pPr>
              <w:rPr>
                <w:color w:val="000000"/>
                <w:sz w:val="20"/>
                <w:szCs w:val="20"/>
              </w:rPr>
            </w:pPr>
            <w:r w:rsidRPr="0064652A">
              <w:rPr>
                <w:b/>
                <w:bCs/>
                <w:color w:val="000000"/>
                <w:sz w:val="20"/>
                <w:szCs w:val="20"/>
              </w:rPr>
              <w:t> </w:t>
            </w:r>
          </w:p>
        </w:tc>
        <w:tc>
          <w:tcPr>
            <w:tcW w:w="0" w:type="auto"/>
            <w:tcMar>
              <w:top w:w="5" w:type="dxa"/>
              <w:left w:w="5" w:type="dxa"/>
              <w:bottom w:w="5" w:type="dxa"/>
              <w:right w:w="5" w:type="dxa"/>
            </w:tcMar>
            <w:vAlign w:val="bottom"/>
            <w:hideMark/>
          </w:tcPr>
          <w:p w14:paraId="36CA502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A7234E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A63322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A8774D5" w14:textId="77777777" w:rsidR="00C820B8" w:rsidRPr="0064652A" w:rsidRDefault="008D7FC6">
            <w:pPr>
              <w:rPr>
                <w:color w:val="000000"/>
                <w:sz w:val="20"/>
                <w:szCs w:val="20"/>
              </w:rPr>
            </w:pPr>
            <w:r w:rsidRPr="0064652A">
              <w:rPr>
                <w:b/>
                <w:bCs/>
                <w:color w:val="000000"/>
                <w:sz w:val="20"/>
                <w:szCs w:val="20"/>
              </w:rPr>
              <w:t> </w:t>
            </w:r>
          </w:p>
        </w:tc>
      </w:tr>
      <w:tr w:rsidR="00C820B8" w:rsidRPr="0064652A" w14:paraId="74748011" w14:textId="77777777">
        <w:tc>
          <w:tcPr>
            <w:tcW w:w="0" w:type="auto"/>
            <w:tcMar>
              <w:top w:w="5" w:type="dxa"/>
              <w:left w:w="5" w:type="dxa"/>
              <w:bottom w:w="5" w:type="dxa"/>
              <w:right w:w="5" w:type="dxa"/>
            </w:tcMar>
            <w:vAlign w:val="bottom"/>
            <w:hideMark/>
          </w:tcPr>
          <w:p w14:paraId="0EAC3101" w14:textId="77777777" w:rsidR="00C820B8" w:rsidRPr="0064652A" w:rsidRDefault="008D7FC6">
            <w:pPr>
              <w:ind w:left="180"/>
              <w:rPr>
                <w:color w:val="000000"/>
                <w:sz w:val="20"/>
                <w:szCs w:val="20"/>
              </w:rPr>
            </w:pPr>
            <w:r w:rsidRPr="0064652A">
              <w:rPr>
                <w:color w:val="000000"/>
                <w:sz w:val="20"/>
                <w:szCs w:val="20"/>
              </w:rPr>
              <w:t>Operating leases</w:t>
            </w:r>
          </w:p>
        </w:tc>
        <w:tc>
          <w:tcPr>
            <w:tcW w:w="50" w:type="pct"/>
            <w:tcMar>
              <w:top w:w="5" w:type="dxa"/>
              <w:left w:w="5" w:type="dxa"/>
              <w:bottom w:w="5" w:type="dxa"/>
              <w:right w:w="5" w:type="dxa"/>
            </w:tcMar>
            <w:vAlign w:val="bottom"/>
            <w:hideMark/>
          </w:tcPr>
          <w:p w14:paraId="7EE0B06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CDD473A"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200238D7" w14:textId="77777777" w:rsidR="00C820B8" w:rsidRPr="0064652A" w:rsidRDefault="008D7FC6">
            <w:pPr>
              <w:jc w:val="right"/>
              <w:rPr>
                <w:color w:val="000000"/>
                <w:sz w:val="20"/>
                <w:szCs w:val="20"/>
              </w:rPr>
            </w:pPr>
            <w:r w:rsidRPr="0064652A">
              <w:rPr>
                <w:color w:val="000000"/>
                <w:sz w:val="20"/>
                <w:szCs w:val="20"/>
              </w:rPr>
              <w:t>9.58</w:t>
            </w:r>
          </w:p>
        </w:tc>
        <w:tc>
          <w:tcPr>
            <w:tcW w:w="50" w:type="pct"/>
            <w:noWrap/>
            <w:tcMar>
              <w:top w:w="5" w:type="dxa"/>
              <w:left w:w="5" w:type="dxa"/>
              <w:bottom w:w="5" w:type="dxa"/>
              <w:right w:w="5" w:type="dxa"/>
            </w:tcMar>
            <w:vAlign w:val="bottom"/>
            <w:hideMark/>
          </w:tcPr>
          <w:p w14:paraId="104B4F7F"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3435883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4B8627B"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0A6C5C0" w14:textId="77777777" w:rsidR="00C820B8" w:rsidRPr="0064652A" w:rsidRDefault="008D7FC6">
            <w:pPr>
              <w:jc w:val="right"/>
              <w:rPr>
                <w:color w:val="000000"/>
                <w:sz w:val="20"/>
                <w:szCs w:val="20"/>
              </w:rPr>
            </w:pPr>
            <w:r w:rsidRPr="0064652A">
              <w:rPr>
                <w:color w:val="000000"/>
                <w:sz w:val="20"/>
                <w:szCs w:val="20"/>
              </w:rPr>
              <w:t>7.50</w:t>
            </w:r>
          </w:p>
        </w:tc>
        <w:tc>
          <w:tcPr>
            <w:tcW w:w="50" w:type="pct"/>
            <w:noWrap/>
            <w:tcMar>
              <w:top w:w="5" w:type="dxa"/>
              <w:left w:w="5" w:type="dxa"/>
              <w:bottom w:w="5" w:type="dxa"/>
              <w:right w:w="5" w:type="dxa"/>
            </w:tcMar>
            <w:vAlign w:val="bottom"/>
            <w:hideMark/>
          </w:tcPr>
          <w:p w14:paraId="08FD3204" w14:textId="77777777" w:rsidR="00C820B8" w:rsidRPr="0064652A" w:rsidRDefault="008D7FC6">
            <w:pPr>
              <w:rPr>
                <w:color w:val="000000"/>
                <w:sz w:val="20"/>
                <w:szCs w:val="20"/>
              </w:rPr>
            </w:pPr>
            <w:r w:rsidRPr="0064652A">
              <w:rPr>
                <w:color w:val="000000"/>
                <w:sz w:val="20"/>
                <w:szCs w:val="20"/>
              </w:rPr>
              <w:t>%</w:t>
            </w:r>
          </w:p>
        </w:tc>
      </w:tr>
      <w:tr w:rsidR="00C820B8" w:rsidRPr="0064652A" w14:paraId="1E60B768" w14:textId="77777777">
        <w:tc>
          <w:tcPr>
            <w:tcW w:w="0" w:type="auto"/>
            <w:tcMar>
              <w:top w:w="5" w:type="dxa"/>
              <w:left w:w="5" w:type="dxa"/>
              <w:bottom w:w="5" w:type="dxa"/>
              <w:right w:w="5" w:type="dxa"/>
            </w:tcMar>
            <w:vAlign w:val="bottom"/>
            <w:hideMark/>
          </w:tcPr>
          <w:p w14:paraId="34620A5B" w14:textId="77777777" w:rsidR="00C820B8" w:rsidRPr="0064652A" w:rsidRDefault="008D7FC6">
            <w:pPr>
              <w:ind w:left="180"/>
              <w:rPr>
                <w:color w:val="000000"/>
                <w:sz w:val="20"/>
                <w:szCs w:val="20"/>
              </w:rPr>
            </w:pPr>
            <w:r w:rsidRPr="0064652A">
              <w:rPr>
                <w:color w:val="000000"/>
                <w:sz w:val="20"/>
                <w:szCs w:val="20"/>
              </w:rPr>
              <w:t>Finance leases</w:t>
            </w:r>
          </w:p>
        </w:tc>
        <w:tc>
          <w:tcPr>
            <w:tcW w:w="50" w:type="pct"/>
            <w:tcMar>
              <w:top w:w="5" w:type="dxa"/>
              <w:left w:w="5" w:type="dxa"/>
              <w:bottom w:w="5" w:type="dxa"/>
              <w:right w:w="5" w:type="dxa"/>
            </w:tcMar>
            <w:vAlign w:val="bottom"/>
            <w:hideMark/>
          </w:tcPr>
          <w:p w14:paraId="30341A6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9E5B6FC"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CA9CC05" w14:textId="77777777" w:rsidR="00C820B8" w:rsidRPr="0064652A" w:rsidRDefault="008D7FC6">
            <w:pPr>
              <w:jc w:val="right"/>
              <w:rPr>
                <w:color w:val="000000"/>
                <w:sz w:val="20"/>
                <w:szCs w:val="20"/>
              </w:rPr>
            </w:pPr>
            <w:r w:rsidRPr="0064652A">
              <w:rPr>
                <w:color w:val="000000"/>
                <w:sz w:val="20"/>
                <w:szCs w:val="20"/>
              </w:rPr>
              <w:t>7.50</w:t>
            </w:r>
          </w:p>
        </w:tc>
        <w:tc>
          <w:tcPr>
            <w:tcW w:w="50" w:type="pct"/>
            <w:noWrap/>
            <w:tcMar>
              <w:top w:w="5" w:type="dxa"/>
              <w:left w:w="5" w:type="dxa"/>
              <w:bottom w:w="5" w:type="dxa"/>
              <w:right w:w="5" w:type="dxa"/>
            </w:tcMar>
            <w:vAlign w:val="bottom"/>
            <w:hideMark/>
          </w:tcPr>
          <w:p w14:paraId="7904B9EC"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455D985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2A9C9A0"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6A8C350" w14:textId="77777777" w:rsidR="00C820B8" w:rsidRPr="0064652A" w:rsidRDefault="008D7FC6">
            <w:pPr>
              <w:jc w:val="right"/>
              <w:rPr>
                <w:color w:val="000000"/>
                <w:sz w:val="20"/>
                <w:szCs w:val="20"/>
              </w:rPr>
            </w:pPr>
            <w:r w:rsidRPr="0064652A">
              <w:rPr>
                <w:color w:val="000000"/>
                <w:sz w:val="20"/>
                <w:szCs w:val="20"/>
              </w:rPr>
              <w:t>7.50</w:t>
            </w:r>
          </w:p>
        </w:tc>
        <w:tc>
          <w:tcPr>
            <w:tcW w:w="50" w:type="pct"/>
            <w:noWrap/>
            <w:tcMar>
              <w:top w:w="5" w:type="dxa"/>
              <w:left w:w="5" w:type="dxa"/>
              <w:bottom w:w="5" w:type="dxa"/>
              <w:right w:w="5" w:type="dxa"/>
            </w:tcMar>
            <w:vAlign w:val="bottom"/>
            <w:hideMark/>
          </w:tcPr>
          <w:p w14:paraId="035992C8" w14:textId="77777777" w:rsidR="00C820B8" w:rsidRPr="0064652A" w:rsidRDefault="008D7FC6">
            <w:pPr>
              <w:rPr>
                <w:color w:val="000000"/>
                <w:sz w:val="20"/>
                <w:szCs w:val="20"/>
              </w:rPr>
            </w:pPr>
            <w:r w:rsidRPr="0064652A">
              <w:rPr>
                <w:color w:val="000000"/>
                <w:sz w:val="20"/>
                <w:szCs w:val="20"/>
              </w:rPr>
              <w:t>%</w:t>
            </w:r>
          </w:p>
        </w:tc>
      </w:tr>
    </w:tbl>
    <w:p w14:paraId="7F68E5D2" w14:textId="77777777" w:rsidR="00C820B8" w:rsidRPr="0064652A" w:rsidRDefault="008D7FC6">
      <w:pPr>
        <w:rPr>
          <w:sz w:val="20"/>
          <w:szCs w:val="20"/>
        </w:rPr>
      </w:pPr>
      <w:r w:rsidRPr="0064652A">
        <w:rPr>
          <w:sz w:val="20"/>
          <w:szCs w:val="20"/>
        </w:rPr>
        <w:t> </w:t>
      </w:r>
    </w:p>
    <w:p w14:paraId="7645AFB5" w14:textId="77777777" w:rsidR="00C820B8" w:rsidRPr="0064652A" w:rsidRDefault="008D7FC6">
      <w:pPr>
        <w:rPr>
          <w:sz w:val="20"/>
          <w:szCs w:val="20"/>
        </w:rPr>
      </w:pPr>
      <w:r w:rsidRPr="0064652A">
        <w:rPr>
          <w:b/>
          <w:bCs/>
          <w:sz w:val="20"/>
          <w:szCs w:val="20"/>
        </w:rPr>
        <w:t>As of </w:t>
      </w:r>
      <w:bookmarkStart w:id="19" w:name="led288631F2022881662678894862"/>
      <w:r w:rsidRPr="0064652A">
        <w:rPr>
          <w:b/>
          <w:bCs/>
          <w:sz w:val="20"/>
          <w:szCs w:val="20"/>
        </w:rPr>
        <w:t>December 31, 2023</w:t>
      </w:r>
      <w:bookmarkEnd w:id="19"/>
      <w:r w:rsidRPr="0064652A">
        <w:rPr>
          <w:b/>
          <w:bCs/>
          <w:sz w:val="20"/>
          <w:szCs w:val="20"/>
        </w:rPr>
        <w:t xml:space="preserve"> the maturities of lease liabilities were as follows:</w:t>
      </w:r>
    </w:p>
    <w:p w14:paraId="6A72ADDC" w14:textId="77777777" w:rsidR="00C820B8" w:rsidRPr="0064652A" w:rsidRDefault="008D7FC6">
      <w:pPr>
        <w:rPr>
          <w:sz w:val="20"/>
          <w:szCs w:val="20"/>
        </w:rPr>
      </w:pPr>
      <w:r w:rsidRPr="0064652A">
        <w:rPr>
          <w:sz w:val="20"/>
          <w:szCs w:val="20"/>
        </w:rPr>
        <w:t> </w:t>
      </w:r>
    </w:p>
    <w:tbl>
      <w:tblPr>
        <w:tblStyle w:val="finTable"/>
        <w:tblW w:w="5000" w:type="pct"/>
        <w:tblInd w:w="5" w:type="dxa"/>
        <w:tblCellMar>
          <w:left w:w="0" w:type="dxa"/>
          <w:right w:w="0" w:type="dxa"/>
        </w:tblCellMar>
        <w:tblLook w:val="05E0" w:firstRow="1" w:lastRow="1" w:firstColumn="1" w:lastColumn="1" w:noHBand="0" w:noVBand="1"/>
      </w:tblPr>
      <w:tblGrid>
        <w:gridCol w:w="7559"/>
        <w:gridCol w:w="107"/>
        <w:gridCol w:w="111"/>
        <w:gridCol w:w="1295"/>
        <w:gridCol w:w="107"/>
        <w:gridCol w:w="107"/>
        <w:gridCol w:w="111"/>
        <w:gridCol w:w="1295"/>
        <w:gridCol w:w="108"/>
      </w:tblGrid>
      <w:tr w:rsidR="00C820B8" w:rsidRPr="0064652A" w14:paraId="5BBBAB2D" w14:textId="77777777">
        <w:tc>
          <w:tcPr>
            <w:tcW w:w="3500" w:type="pct"/>
            <w:tcMar>
              <w:top w:w="5" w:type="dxa"/>
              <w:left w:w="5" w:type="dxa"/>
              <w:bottom w:w="5" w:type="dxa"/>
              <w:right w:w="5" w:type="dxa"/>
            </w:tcMar>
            <w:vAlign w:val="bottom"/>
            <w:hideMark/>
          </w:tcPr>
          <w:p w14:paraId="4C84BB8B" w14:textId="77777777" w:rsidR="00C820B8" w:rsidRPr="0064652A" w:rsidRDefault="008D7FC6">
            <w:pPr>
              <w:rPr>
                <w:color w:val="000000"/>
                <w:sz w:val="20"/>
                <w:szCs w:val="20"/>
              </w:rPr>
            </w:pPr>
            <w:r w:rsidRPr="0064652A">
              <w:rPr>
                <w:b/>
                <w:bCs/>
                <w:color w:val="000000"/>
                <w:sz w:val="20"/>
                <w:szCs w:val="20"/>
              </w:rPr>
              <w:t>(in thousands)</w:t>
            </w:r>
          </w:p>
        </w:tc>
        <w:tc>
          <w:tcPr>
            <w:tcW w:w="0" w:type="auto"/>
            <w:tcMar>
              <w:top w:w="5" w:type="dxa"/>
              <w:left w:w="5" w:type="dxa"/>
              <w:bottom w:w="5" w:type="dxa"/>
              <w:right w:w="5" w:type="dxa"/>
            </w:tcMar>
            <w:vAlign w:val="bottom"/>
            <w:hideMark/>
          </w:tcPr>
          <w:p w14:paraId="1B1BAF8C"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02A3E7E" w14:textId="77777777" w:rsidR="00C820B8" w:rsidRPr="0064652A" w:rsidRDefault="008D7FC6">
            <w:pPr>
              <w:jc w:val="right"/>
              <w:rPr>
                <w:color w:val="000000"/>
                <w:sz w:val="20"/>
                <w:szCs w:val="20"/>
              </w:rPr>
            </w:pPr>
            <w:r w:rsidRPr="0064652A">
              <w:rPr>
                <w:color w:val="000000"/>
                <w:sz w:val="20"/>
                <w:szCs w:val="20"/>
              </w:rPr>
              <w:t>Operating Leases</w:t>
            </w:r>
          </w:p>
        </w:tc>
        <w:tc>
          <w:tcPr>
            <w:tcW w:w="0" w:type="auto"/>
            <w:tcMar>
              <w:top w:w="5" w:type="dxa"/>
              <w:left w:w="5" w:type="dxa"/>
              <w:bottom w:w="20" w:type="dxa"/>
              <w:right w:w="5" w:type="dxa"/>
            </w:tcMar>
            <w:vAlign w:val="bottom"/>
            <w:hideMark/>
          </w:tcPr>
          <w:p w14:paraId="3FAC16D4"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7F49F8D"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E99CA94" w14:textId="77777777" w:rsidR="00C820B8" w:rsidRPr="0064652A" w:rsidRDefault="008D7FC6">
            <w:pPr>
              <w:jc w:val="right"/>
              <w:rPr>
                <w:color w:val="000000"/>
                <w:sz w:val="20"/>
                <w:szCs w:val="20"/>
              </w:rPr>
            </w:pPr>
            <w:r w:rsidRPr="0064652A">
              <w:rPr>
                <w:color w:val="000000"/>
                <w:sz w:val="20"/>
                <w:szCs w:val="20"/>
              </w:rPr>
              <w:t>Finance Leases</w:t>
            </w:r>
          </w:p>
        </w:tc>
        <w:tc>
          <w:tcPr>
            <w:tcW w:w="0" w:type="auto"/>
            <w:tcMar>
              <w:top w:w="5" w:type="dxa"/>
              <w:left w:w="5" w:type="dxa"/>
              <w:bottom w:w="20" w:type="dxa"/>
              <w:right w:w="5" w:type="dxa"/>
            </w:tcMar>
            <w:vAlign w:val="bottom"/>
            <w:hideMark/>
          </w:tcPr>
          <w:p w14:paraId="3CFD47E3" w14:textId="77777777" w:rsidR="00C820B8" w:rsidRPr="0064652A" w:rsidRDefault="008D7FC6">
            <w:pPr>
              <w:rPr>
                <w:color w:val="000000"/>
                <w:sz w:val="20"/>
                <w:szCs w:val="20"/>
              </w:rPr>
            </w:pPr>
            <w:r w:rsidRPr="0064652A">
              <w:rPr>
                <w:color w:val="000000"/>
                <w:sz w:val="20"/>
                <w:szCs w:val="20"/>
              </w:rPr>
              <w:t> </w:t>
            </w:r>
          </w:p>
        </w:tc>
      </w:tr>
      <w:tr w:rsidR="00C820B8" w:rsidRPr="0064652A" w14:paraId="3AA476FC" w14:textId="77777777">
        <w:tc>
          <w:tcPr>
            <w:tcW w:w="0" w:type="auto"/>
            <w:tcMar>
              <w:top w:w="5" w:type="dxa"/>
              <w:left w:w="5" w:type="dxa"/>
              <w:bottom w:w="5" w:type="dxa"/>
              <w:right w:w="5" w:type="dxa"/>
            </w:tcMar>
            <w:vAlign w:val="bottom"/>
            <w:hideMark/>
          </w:tcPr>
          <w:p w14:paraId="49A2C3C6"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43D6863"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2DA4F3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C1CF19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D6D82E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D42B4BA"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31C05E2"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51A7F6D"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049747A7" w14:textId="77777777" w:rsidR="00C820B8" w:rsidRPr="0064652A" w:rsidRDefault="008D7FC6">
            <w:pPr>
              <w:rPr>
                <w:color w:val="000000"/>
                <w:sz w:val="20"/>
                <w:szCs w:val="20"/>
              </w:rPr>
            </w:pPr>
            <w:r w:rsidRPr="0064652A">
              <w:rPr>
                <w:color w:val="000000"/>
                <w:sz w:val="20"/>
                <w:szCs w:val="20"/>
              </w:rPr>
              <w:t> </w:t>
            </w:r>
          </w:p>
        </w:tc>
      </w:tr>
      <w:tr w:rsidR="00C820B8" w:rsidRPr="0064652A" w14:paraId="2CE5BEBF" w14:textId="77777777">
        <w:tc>
          <w:tcPr>
            <w:tcW w:w="0" w:type="auto"/>
            <w:tcMar>
              <w:top w:w="5" w:type="dxa"/>
              <w:left w:w="5" w:type="dxa"/>
              <w:bottom w:w="5" w:type="dxa"/>
              <w:right w:w="5" w:type="dxa"/>
            </w:tcMar>
            <w:vAlign w:val="bottom"/>
            <w:hideMark/>
          </w:tcPr>
          <w:p w14:paraId="5275668E" w14:textId="77777777" w:rsidR="00C820B8" w:rsidRPr="0064652A" w:rsidRDefault="008D7FC6">
            <w:pPr>
              <w:rPr>
                <w:color w:val="000000"/>
                <w:sz w:val="20"/>
                <w:szCs w:val="20"/>
              </w:rPr>
            </w:pPr>
            <w:r w:rsidRPr="0064652A">
              <w:rPr>
                <w:color w:val="000000"/>
                <w:sz w:val="20"/>
                <w:szCs w:val="20"/>
              </w:rPr>
              <w:t>2024</w:t>
            </w:r>
          </w:p>
        </w:tc>
        <w:tc>
          <w:tcPr>
            <w:tcW w:w="50" w:type="pct"/>
            <w:tcMar>
              <w:top w:w="5" w:type="dxa"/>
              <w:left w:w="5" w:type="dxa"/>
              <w:bottom w:w="5" w:type="dxa"/>
              <w:right w:w="5" w:type="dxa"/>
            </w:tcMar>
            <w:vAlign w:val="bottom"/>
            <w:hideMark/>
          </w:tcPr>
          <w:p w14:paraId="7CEC3A9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D908701"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7C97E43C" w14:textId="77777777" w:rsidR="00C820B8" w:rsidRPr="0064652A" w:rsidRDefault="008D7FC6">
            <w:pPr>
              <w:jc w:val="right"/>
              <w:rPr>
                <w:color w:val="000000"/>
                <w:sz w:val="20"/>
                <w:szCs w:val="20"/>
              </w:rPr>
            </w:pPr>
            <w:r w:rsidRPr="0064652A">
              <w:rPr>
                <w:color w:val="000000"/>
                <w:sz w:val="20"/>
                <w:szCs w:val="20"/>
              </w:rPr>
              <w:t>52</w:t>
            </w:r>
          </w:p>
        </w:tc>
        <w:tc>
          <w:tcPr>
            <w:tcW w:w="50" w:type="pct"/>
            <w:noWrap/>
            <w:tcMar>
              <w:top w:w="5" w:type="dxa"/>
              <w:left w:w="5" w:type="dxa"/>
              <w:bottom w:w="5" w:type="dxa"/>
              <w:right w:w="5" w:type="dxa"/>
            </w:tcMar>
            <w:vAlign w:val="bottom"/>
            <w:hideMark/>
          </w:tcPr>
          <w:p w14:paraId="6A1BDEC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A3FA5B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6C4E9EC"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4B4EBC0E" w14:textId="77777777" w:rsidR="00C820B8" w:rsidRPr="0064652A" w:rsidRDefault="008D7FC6">
            <w:pPr>
              <w:jc w:val="right"/>
              <w:rPr>
                <w:color w:val="000000"/>
                <w:sz w:val="20"/>
                <w:szCs w:val="20"/>
              </w:rPr>
            </w:pPr>
            <w:r w:rsidRPr="0064652A">
              <w:rPr>
                <w:color w:val="000000"/>
                <w:sz w:val="20"/>
                <w:szCs w:val="20"/>
              </w:rPr>
              <w:t>1</w:t>
            </w:r>
          </w:p>
        </w:tc>
        <w:tc>
          <w:tcPr>
            <w:tcW w:w="50" w:type="pct"/>
            <w:noWrap/>
            <w:tcMar>
              <w:top w:w="5" w:type="dxa"/>
              <w:left w:w="5" w:type="dxa"/>
              <w:bottom w:w="5" w:type="dxa"/>
              <w:right w:w="5" w:type="dxa"/>
            </w:tcMar>
            <w:vAlign w:val="bottom"/>
            <w:hideMark/>
          </w:tcPr>
          <w:p w14:paraId="26913D34" w14:textId="77777777" w:rsidR="00C820B8" w:rsidRPr="0064652A" w:rsidRDefault="008D7FC6">
            <w:pPr>
              <w:rPr>
                <w:color w:val="000000"/>
                <w:sz w:val="20"/>
                <w:szCs w:val="20"/>
              </w:rPr>
            </w:pPr>
            <w:r w:rsidRPr="0064652A">
              <w:rPr>
                <w:color w:val="000000"/>
                <w:sz w:val="20"/>
                <w:szCs w:val="20"/>
              </w:rPr>
              <w:t> </w:t>
            </w:r>
          </w:p>
        </w:tc>
      </w:tr>
      <w:tr w:rsidR="00C820B8" w:rsidRPr="0064652A" w14:paraId="5B7B3FC0" w14:textId="77777777">
        <w:tc>
          <w:tcPr>
            <w:tcW w:w="0" w:type="auto"/>
            <w:tcMar>
              <w:top w:w="5" w:type="dxa"/>
              <w:left w:w="5" w:type="dxa"/>
              <w:bottom w:w="5" w:type="dxa"/>
              <w:right w:w="5" w:type="dxa"/>
            </w:tcMar>
            <w:vAlign w:val="bottom"/>
            <w:hideMark/>
          </w:tcPr>
          <w:p w14:paraId="04D36A79" w14:textId="77777777" w:rsidR="00C820B8" w:rsidRPr="0064652A" w:rsidRDefault="008D7FC6">
            <w:pPr>
              <w:rPr>
                <w:color w:val="000000"/>
                <w:sz w:val="20"/>
                <w:szCs w:val="20"/>
              </w:rPr>
            </w:pPr>
            <w:r w:rsidRPr="0064652A">
              <w:rPr>
                <w:color w:val="000000"/>
                <w:sz w:val="20"/>
                <w:szCs w:val="20"/>
              </w:rPr>
              <w:t>2025</w:t>
            </w:r>
          </w:p>
        </w:tc>
        <w:tc>
          <w:tcPr>
            <w:tcW w:w="50" w:type="pct"/>
            <w:tcMar>
              <w:top w:w="5" w:type="dxa"/>
              <w:left w:w="5" w:type="dxa"/>
              <w:bottom w:w="5" w:type="dxa"/>
              <w:right w:w="5" w:type="dxa"/>
            </w:tcMar>
            <w:vAlign w:val="bottom"/>
            <w:hideMark/>
          </w:tcPr>
          <w:p w14:paraId="3DA8699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0E6AFB4"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2CEF3F91" w14:textId="77777777" w:rsidR="00C820B8" w:rsidRPr="0064652A" w:rsidRDefault="008D7FC6">
            <w:pPr>
              <w:jc w:val="right"/>
              <w:rPr>
                <w:color w:val="000000"/>
                <w:sz w:val="20"/>
                <w:szCs w:val="20"/>
              </w:rPr>
            </w:pPr>
            <w:r w:rsidRPr="0064652A">
              <w:rPr>
                <w:color w:val="000000"/>
                <w:sz w:val="20"/>
                <w:szCs w:val="20"/>
              </w:rPr>
              <w:t>116</w:t>
            </w:r>
          </w:p>
        </w:tc>
        <w:tc>
          <w:tcPr>
            <w:tcW w:w="50" w:type="pct"/>
            <w:noWrap/>
            <w:tcMar>
              <w:top w:w="5" w:type="dxa"/>
              <w:left w:w="5" w:type="dxa"/>
              <w:bottom w:w="5" w:type="dxa"/>
              <w:right w:w="5" w:type="dxa"/>
            </w:tcMar>
            <w:vAlign w:val="bottom"/>
            <w:hideMark/>
          </w:tcPr>
          <w:p w14:paraId="716679D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35CFC1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140E663"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51D3357C"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2EB7C7DD" w14:textId="77777777" w:rsidR="00C820B8" w:rsidRPr="0064652A" w:rsidRDefault="008D7FC6">
            <w:pPr>
              <w:rPr>
                <w:color w:val="000000"/>
                <w:sz w:val="20"/>
                <w:szCs w:val="20"/>
              </w:rPr>
            </w:pPr>
            <w:r w:rsidRPr="0064652A">
              <w:rPr>
                <w:color w:val="000000"/>
                <w:sz w:val="20"/>
                <w:szCs w:val="20"/>
              </w:rPr>
              <w:t> </w:t>
            </w:r>
          </w:p>
        </w:tc>
      </w:tr>
      <w:tr w:rsidR="00C820B8" w:rsidRPr="0064652A" w14:paraId="34F74DFE" w14:textId="77777777">
        <w:tc>
          <w:tcPr>
            <w:tcW w:w="0" w:type="auto"/>
            <w:tcMar>
              <w:top w:w="5" w:type="dxa"/>
              <w:left w:w="5" w:type="dxa"/>
              <w:bottom w:w="5" w:type="dxa"/>
              <w:right w:w="5" w:type="dxa"/>
            </w:tcMar>
            <w:vAlign w:val="bottom"/>
            <w:hideMark/>
          </w:tcPr>
          <w:p w14:paraId="22499A1E" w14:textId="77777777" w:rsidR="00C820B8" w:rsidRPr="0064652A" w:rsidRDefault="008D7FC6">
            <w:pPr>
              <w:rPr>
                <w:color w:val="000000"/>
                <w:sz w:val="20"/>
                <w:szCs w:val="20"/>
              </w:rPr>
            </w:pPr>
            <w:r w:rsidRPr="0064652A">
              <w:rPr>
                <w:color w:val="000000"/>
                <w:sz w:val="20"/>
                <w:szCs w:val="20"/>
              </w:rPr>
              <w:t>2026</w:t>
            </w:r>
          </w:p>
        </w:tc>
        <w:tc>
          <w:tcPr>
            <w:tcW w:w="50" w:type="pct"/>
            <w:tcMar>
              <w:top w:w="5" w:type="dxa"/>
              <w:left w:w="5" w:type="dxa"/>
              <w:bottom w:w="5" w:type="dxa"/>
              <w:right w:w="5" w:type="dxa"/>
            </w:tcMar>
            <w:vAlign w:val="bottom"/>
            <w:hideMark/>
          </w:tcPr>
          <w:p w14:paraId="7CAA43E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AFC721A"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1B2204B" w14:textId="77777777" w:rsidR="00C820B8" w:rsidRPr="0064652A" w:rsidRDefault="008D7FC6">
            <w:pPr>
              <w:jc w:val="right"/>
              <w:rPr>
                <w:color w:val="000000"/>
                <w:sz w:val="20"/>
                <w:szCs w:val="20"/>
              </w:rPr>
            </w:pPr>
            <w:r w:rsidRPr="0064652A">
              <w:rPr>
                <w:color w:val="000000"/>
                <w:sz w:val="20"/>
                <w:szCs w:val="20"/>
              </w:rPr>
              <w:t>54</w:t>
            </w:r>
          </w:p>
        </w:tc>
        <w:tc>
          <w:tcPr>
            <w:tcW w:w="50" w:type="pct"/>
            <w:noWrap/>
            <w:tcMar>
              <w:top w:w="5" w:type="dxa"/>
              <w:left w:w="5" w:type="dxa"/>
              <w:bottom w:w="5" w:type="dxa"/>
              <w:right w:w="5" w:type="dxa"/>
            </w:tcMar>
            <w:vAlign w:val="bottom"/>
            <w:hideMark/>
          </w:tcPr>
          <w:p w14:paraId="198DB6B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CA7394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64E79B1"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6B9F6E03"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5E4C6CD0" w14:textId="77777777" w:rsidR="00C820B8" w:rsidRPr="0064652A" w:rsidRDefault="008D7FC6">
            <w:pPr>
              <w:rPr>
                <w:color w:val="000000"/>
                <w:sz w:val="20"/>
                <w:szCs w:val="20"/>
              </w:rPr>
            </w:pPr>
            <w:r w:rsidRPr="0064652A">
              <w:rPr>
                <w:color w:val="000000"/>
                <w:sz w:val="20"/>
                <w:szCs w:val="20"/>
              </w:rPr>
              <w:t> </w:t>
            </w:r>
          </w:p>
        </w:tc>
      </w:tr>
      <w:tr w:rsidR="00C820B8" w:rsidRPr="0064652A" w14:paraId="41628F05" w14:textId="77777777">
        <w:tc>
          <w:tcPr>
            <w:tcW w:w="0" w:type="auto"/>
            <w:tcMar>
              <w:top w:w="5" w:type="dxa"/>
              <w:left w:w="5" w:type="dxa"/>
              <w:bottom w:w="5" w:type="dxa"/>
              <w:right w:w="5" w:type="dxa"/>
            </w:tcMar>
            <w:vAlign w:val="bottom"/>
            <w:hideMark/>
          </w:tcPr>
          <w:p w14:paraId="0E77C85E" w14:textId="77777777" w:rsidR="00C820B8" w:rsidRPr="0064652A" w:rsidRDefault="008D7FC6">
            <w:pPr>
              <w:rPr>
                <w:color w:val="000000"/>
                <w:sz w:val="20"/>
                <w:szCs w:val="20"/>
              </w:rPr>
            </w:pPr>
            <w:r w:rsidRPr="0064652A">
              <w:rPr>
                <w:color w:val="000000"/>
                <w:sz w:val="20"/>
                <w:szCs w:val="20"/>
              </w:rPr>
              <w:t>2027</w:t>
            </w:r>
          </w:p>
        </w:tc>
        <w:tc>
          <w:tcPr>
            <w:tcW w:w="50" w:type="pct"/>
            <w:tcMar>
              <w:top w:w="5" w:type="dxa"/>
              <w:left w:w="5" w:type="dxa"/>
              <w:bottom w:w="5" w:type="dxa"/>
              <w:right w:w="5" w:type="dxa"/>
            </w:tcMar>
            <w:vAlign w:val="bottom"/>
            <w:hideMark/>
          </w:tcPr>
          <w:p w14:paraId="244E6F6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0139CAD"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3B6E7AC8" w14:textId="77777777" w:rsidR="00C820B8" w:rsidRPr="0064652A" w:rsidRDefault="008D7FC6">
            <w:pPr>
              <w:jc w:val="right"/>
              <w:rPr>
                <w:color w:val="000000"/>
                <w:sz w:val="20"/>
                <w:szCs w:val="20"/>
              </w:rPr>
            </w:pPr>
            <w:r w:rsidRPr="0064652A">
              <w:rPr>
                <w:color w:val="000000"/>
                <w:sz w:val="20"/>
                <w:szCs w:val="20"/>
              </w:rPr>
              <w:t>66</w:t>
            </w:r>
          </w:p>
        </w:tc>
        <w:tc>
          <w:tcPr>
            <w:tcW w:w="50" w:type="pct"/>
            <w:noWrap/>
            <w:tcMar>
              <w:top w:w="5" w:type="dxa"/>
              <w:left w:w="5" w:type="dxa"/>
              <w:bottom w:w="5" w:type="dxa"/>
              <w:right w:w="5" w:type="dxa"/>
            </w:tcMar>
            <w:vAlign w:val="bottom"/>
            <w:hideMark/>
          </w:tcPr>
          <w:p w14:paraId="18690DB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140152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27738D3" w14:textId="77777777" w:rsidR="00C820B8" w:rsidRPr="0064652A" w:rsidRDefault="008D7FC6">
            <w:pPr>
              <w:rPr>
                <w:color w:val="000000"/>
                <w:sz w:val="20"/>
                <w:szCs w:val="20"/>
              </w:rPr>
            </w:pPr>
            <w:r w:rsidRPr="0064652A">
              <w:rPr>
                <w:color w:val="000000"/>
                <w:sz w:val="20"/>
                <w:szCs w:val="20"/>
              </w:rPr>
              <w:t> </w:t>
            </w:r>
          </w:p>
        </w:tc>
        <w:tc>
          <w:tcPr>
            <w:tcW w:w="600" w:type="pct"/>
            <w:tcMar>
              <w:top w:w="5" w:type="dxa"/>
              <w:left w:w="5" w:type="dxa"/>
              <w:bottom w:w="5" w:type="dxa"/>
              <w:right w:w="5" w:type="dxa"/>
            </w:tcMar>
            <w:vAlign w:val="bottom"/>
            <w:hideMark/>
          </w:tcPr>
          <w:p w14:paraId="12CBEC71"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343A7335" w14:textId="77777777" w:rsidR="00C820B8" w:rsidRPr="0064652A" w:rsidRDefault="008D7FC6">
            <w:pPr>
              <w:rPr>
                <w:color w:val="000000"/>
                <w:sz w:val="20"/>
                <w:szCs w:val="20"/>
              </w:rPr>
            </w:pPr>
            <w:r w:rsidRPr="0064652A">
              <w:rPr>
                <w:color w:val="000000"/>
                <w:sz w:val="20"/>
                <w:szCs w:val="20"/>
              </w:rPr>
              <w:t> </w:t>
            </w:r>
          </w:p>
        </w:tc>
      </w:tr>
      <w:tr w:rsidR="00C820B8" w:rsidRPr="0064652A" w14:paraId="4C0B32D1" w14:textId="77777777">
        <w:tc>
          <w:tcPr>
            <w:tcW w:w="0" w:type="auto"/>
            <w:tcMar>
              <w:top w:w="5" w:type="dxa"/>
              <w:left w:w="5" w:type="dxa"/>
              <w:bottom w:w="5" w:type="dxa"/>
              <w:right w:w="5" w:type="dxa"/>
            </w:tcMar>
            <w:vAlign w:val="bottom"/>
            <w:hideMark/>
          </w:tcPr>
          <w:p w14:paraId="7D1599B1" w14:textId="77777777" w:rsidR="00C820B8" w:rsidRPr="0064652A" w:rsidRDefault="008D7FC6">
            <w:pPr>
              <w:rPr>
                <w:color w:val="000000"/>
                <w:sz w:val="20"/>
                <w:szCs w:val="20"/>
              </w:rPr>
            </w:pPr>
            <w:r w:rsidRPr="0064652A">
              <w:rPr>
                <w:color w:val="000000"/>
                <w:sz w:val="20"/>
                <w:szCs w:val="20"/>
              </w:rPr>
              <w:t>Thereafter</w:t>
            </w:r>
          </w:p>
        </w:tc>
        <w:tc>
          <w:tcPr>
            <w:tcW w:w="50" w:type="pct"/>
            <w:tcMar>
              <w:top w:w="5" w:type="dxa"/>
              <w:left w:w="5" w:type="dxa"/>
              <w:bottom w:w="5" w:type="dxa"/>
              <w:right w:w="5" w:type="dxa"/>
            </w:tcMar>
            <w:vAlign w:val="bottom"/>
            <w:hideMark/>
          </w:tcPr>
          <w:p w14:paraId="40B60433"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1CBFDC2"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9D2BE2A" w14:textId="77777777" w:rsidR="00C820B8" w:rsidRPr="0064652A" w:rsidRDefault="008D7FC6">
            <w:pPr>
              <w:jc w:val="right"/>
              <w:rPr>
                <w:color w:val="000000"/>
                <w:sz w:val="20"/>
                <w:szCs w:val="20"/>
              </w:rPr>
            </w:pPr>
            <w:r w:rsidRPr="0064652A">
              <w:rPr>
                <w:color w:val="000000"/>
                <w:sz w:val="20"/>
                <w:szCs w:val="20"/>
              </w:rPr>
              <w:t>52</w:t>
            </w:r>
          </w:p>
        </w:tc>
        <w:tc>
          <w:tcPr>
            <w:tcW w:w="50" w:type="pct"/>
            <w:noWrap/>
            <w:tcMar>
              <w:top w:w="5" w:type="dxa"/>
              <w:left w:w="5" w:type="dxa"/>
              <w:bottom w:w="20" w:type="dxa"/>
              <w:right w:w="5" w:type="dxa"/>
            </w:tcMar>
            <w:vAlign w:val="bottom"/>
            <w:hideMark/>
          </w:tcPr>
          <w:p w14:paraId="14D61E1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54C0641"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098DF88"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3C417E3"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14D50AC7" w14:textId="77777777" w:rsidR="00C820B8" w:rsidRPr="0064652A" w:rsidRDefault="008D7FC6">
            <w:pPr>
              <w:rPr>
                <w:color w:val="000000"/>
                <w:sz w:val="20"/>
                <w:szCs w:val="20"/>
              </w:rPr>
            </w:pPr>
            <w:r w:rsidRPr="0064652A">
              <w:rPr>
                <w:color w:val="000000"/>
                <w:sz w:val="20"/>
                <w:szCs w:val="20"/>
              </w:rPr>
              <w:t> </w:t>
            </w:r>
          </w:p>
        </w:tc>
      </w:tr>
      <w:tr w:rsidR="00C820B8" w:rsidRPr="0064652A" w14:paraId="57E622C9" w14:textId="77777777">
        <w:tc>
          <w:tcPr>
            <w:tcW w:w="0" w:type="auto"/>
            <w:tcMar>
              <w:top w:w="5" w:type="dxa"/>
              <w:left w:w="5" w:type="dxa"/>
              <w:bottom w:w="5" w:type="dxa"/>
              <w:right w:w="5" w:type="dxa"/>
            </w:tcMar>
            <w:vAlign w:val="bottom"/>
            <w:hideMark/>
          </w:tcPr>
          <w:p w14:paraId="64A9512C" w14:textId="77777777" w:rsidR="00C820B8" w:rsidRPr="0064652A" w:rsidRDefault="008D7FC6">
            <w:pPr>
              <w:ind w:left="180"/>
              <w:rPr>
                <w:color w:val="000000"/>
                <w:sz w:val="20"/>
                <w:szCs w:val="20"/>
              </w:rPr>
            </w:pPr>
            <w:r w:rsidRPr="0064652A">
              <w:rPr>
                <w:color w:val="000000"/>
                <w:sz w:val="20"/>
                <w:szCs w:val="20"/>
              </w:rPr>
              <w:t>Total lease payments</w:t>
            </w:r>
          </w:p>
        </w:tc>
        <w:tc>
          <w:tcPr>
            <w:tcW w:w="50" w:type="pct"/>
            <w:tcMar>
              <w:top w:w="5" w:type="dxa"/>
              <w:left w:w="5" w:type="dxa"/>
              <w:bottom w:w="5" w:type="dxa"/>
              <w:right w:w="5" w:type="dxa"/>
            </w:tcMar>
            <w:vAlign w:val="bottom"/>
            <w:hideMark/>
          </w:tcPr>
          <w:p w14:paraId="4E9C01D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1FE79EE"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2A98727C" w14:textId="77777777" w:rsidR="00C820B8" w:rsidRPr="0064652A" w:rsidRDefault="008D7FC6">
            <w:pPr>
              <w:jc w:val="right"/>
              <w:rPr>
                <w:color w:val="000000"/>
                <w:sz w:val="20"/>
                <w:szCs w:val="20"/>
              </w:rPr>
            </w:pPr>
            <w:r w:rsidRPr="0064652A">
              <w:rPr>
                <w:color w:val="000000"/>
                <w:sz w:val="20"/>
                <w:szCs w:val="20"/>
              </w:rPr>
              <w:t>340</w:t>
            </w:r>
          </w:p>
        </w:tc>
        <w:tc>
          <w:tcPr>
            <w:tcW w:w="50" w:type="pct"/>
            <w:noWrap/>
            <w:tcMar>
              <w:top w:w="5" w:type="dxa"/>
              <w:left w:w="5" w:type="dxa"/>
              <w:bottom w:w="5" w:type="dxa"/>
              <w:right w:w="5" w:type="dxa"/>
            </w:tcMar>
            <w:vAlign w:val="bottom"/>
            <w:hideMark/>
          </w:tcPr>
          <w:p w14:paraId="356CBC6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784FF4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4423FA7"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6C90C2FB" w14:textId="77777777" w:rsidR="00C820B8" w:rsidRPr="0064652A" w:rsidRDefault="008D7FC6">
            <w:pPr>
              <w:jc w:val="right"/>
              <w:rPr>
                <w:color w:val="000000"/>
                <w:sz w:val="20"/>
                <w:szCs w:val="20"/>
              </w:rPr>
            </w:pPr>
            <w:r w:rsidRPr="0064652A">
              <w:rPr>
                <w:color w:val="000000"/>
                <w:sz w:val="20"/>
                <w:szCs w:val="20"/>
              </w:rPr>
              <w:t>1</w:t>
            </w:r>
          </w:p>
        </w:tc>
        <w:tc>
          <w:tcPr>
            <w:tcW w:w="50" w:type="pct"/>
            <w:noWrap/>
            <w:tcMar>
              <w:top w:w="5" w:type="dxa"/>
              <w:left w:w="5" w:type="dxa"/>
              <w:bottom w:w="5" w:type="dxa"/>
              <w:right w:w="5" w:type="dxa"/>
            </w:tcMar>
            <w:vAlign w:val="bottom"/>
            <w:hideMark/>
          </w:tcPr>
          <w:p w14:paraId="089504CF" w14:textId="77777777" w:rsidR="00C820B8" w:rsidRPr="0064652A" w:rsidRDefault="008D7FC6">
            <w:pPr>
              <w:rPr>
                <w:color w:val="000000"/>
                <w:sz w:val="20"/>
                <w:szCs w:val="20"/>
              </w:rPr>
            </w:pPr>
            <w:r w:rsidRPr="0064652A">
              <w:rPr>
                <w:color w:val="000000"/>
                <w:sz w:val="20"/>
                <w:szCs w:val="20"/>
              </w:rPr>
              <w:t> </w:t>
            </w:r>
          </w:p>
        </w:tc>
      </w:tr>
      <w:tr w:rsidR="00C820B8" w:rsidRPr="0064652A" w14:paraId="61B4CFDA" w14:textId="77777777">
        <w:tc>
          <w:tcPr>
            <w:tcW w:w="0" w:type="auto"/>
            <w:tcMar>
              <w:top w:w="5" w:type="dxa"/>
              <w:left w:w="5" w:type="dxa"/>
              <w:bottom w:w="5" w:type="dxa"/>
              <w:right w:w="5" w:type="dxa"/>
            </w:tcMar>
            <w:vAlign w:val="bottom"/>
            <w:hideMark/>
          </w:tcPr>
          <w:p w14:paraId="32D14B97" w14:textId="77777777" w:rsidR="00C820B8" w:rsidRPr="0064652A" w:rsidRDefault="008D7FC6">
            <w:pPr>
              <w:ind w:left="180"/>
              <w:rPr>
                <w:color w:val="000000"/>
                <w:sz w:val="20"/>
                <w:szCs w:val="20"/>
              </w:rPr>
            </w:pPr>
            <w:r w:rsidRPr="0064652A">
              <w:rPr>
                <w:color w:val="000000"/>
                <w:sz w:val="20"/>
                <w:szCs w:val="20"/>
              </w:rPr>
              <w:t>Less: Imputed interest</w:t>
            </w:r>
          </w:p>
        </w:tc>
        <w:tc>
          <w:tcPr>
            <w:tcW w:w="50" w:type="pct"/>
            <w:tcMar>
              <w:top w:w="5" w:type="dxa"/>
              <w:left w:w="5" w:type="dxa"/>
              <w:bottom w:w="5" w:type="dxa"/>
              <w:right w:w="5" w:type="dxa"/>
            </w:tcMar>
            <w:vAlign w:val="bottom"/>
            <w:hideMark/>
          </w:tcPr>
          <w:p w14:paraId="224DC024"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BD0E837"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869563B" w14:textId="77777777" w:rsidR="00C820B8" w:rsidRPr="0064652A" w:rsidRDefault="008D7FC6">
            <w:pPr>
              <w:jc w:val="right"/>
              <w:rPr>
                <w:color w:val="000000"/>
                <w:sz w:val="20"/>
                <w:szCs w:val="20"/>
              </w:rPr>
            </w:pPr>
            <w:r w:rsidRPr="0064652A">
              <w:rPr>
                <w:color w:val="000000"/>
                <w:sz w:val="20"/>
                <w:szCs w:val="20"/>
              </w:rPr>
              <w:t>(4</w:t>
            </w:r>
          </w:p>
        </w:tc>
        <w:tc>
          <w:tcPr>
            <w:tcW w:w="50" w:type="pct"/>
            <w:noWrap/>
            <w:tcMar>
              <w:top w:w="5" w:type="dxa"/>
              <w:left w:w="5" w:type="dxa"/>
              <w:bottom w:w="20" w:type="dxa"/>
              <w:right w:w="5" w:type="dxa"/>
            </w:tcMar>
            <w:vAlign w:val="bottom"/>
            <w:hideMark/>
          </w:tcPr>
          <w:p w14:paraId="3C1DDD84"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60C7E0C0"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F0610BF" w14:textId="77777777" w:rsidR="00C820B8" w:rsidRPr="0064652A" w:rsidRDefault="008D7FC6">
            <w:pPr>
              <w:rPr>
                <w:color w:val="000000"/>
                <w:sz w:val="20"/>
                <w:szCs w:val="20"/>
              </w:rPr>
            </w:pPr>
            <w:r w:rsidRPr="0064652A">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6BD57E9"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38E26E78" w14:textId="77777777" w:rsidR="00C820B8" w:rsidRPr="0064652A" w:rsidRDefault="008D7FC6">
            <w:pPr>
              <w:rPr>
                <w:color w:val="000000"/>
                <w:sz w:val="20"/>
                <w:szCs w:val="20"/>
              </w:rPr>
            </w:pPr>
            <w:r w:rsidRPr="0064652A">
              <w:rPr>
                <w:color w:val="000000"/>
                <w:sz w:val="20"/>
                <w:szCs w:val="20"/>
              </w:rPr>
              <w:t> </w:t>
            </w:r>
          </w:p>
        </w:tc>
      </w:tr>
      <w:tr w:rsidR="00C820B8" w:rsidRPr="0064652A" w14:paraId="38A85B78" w14:textId="77777777">
        <w:tc>
          <w:tcPr>
            <w:tcW w:w="0" w:type="auto"/>
            <w:tcMar>
              <w:top w:w="5" w:type="dxa"/>
              <w:left w:w="5" w:type="dxa"/>
              <w:bottom w:w="5" w:type="dxa"/>
              <w:right w:w="5" w:type="dxa"/>
            </w:tcMar>
            <w:vAlign w:val="bottom"/>
            <w:hideMark/>
          </w:tcPr>
          <w:p w14:paraId="7096CB5D" w14:textId="77777777" w:rsidR="00C820B8" w:rsidRPr="0064652A" w:rsidRDefault="008D7FC6">
            <w:pPr>
              <w:ind w:left="180"/>
              <w:rPr>
                <w:color w:val="000000"/>
                <w:sz w:val="20"/>
                <w:szCs w:val="20"/>
              </w:rPr>
            </w:pPr>
            <w:r w:rsidRPr="0064652A">
              <w:rPr>
                <w:color w:val="000000"/>
                <w:sz w:val="20"/>
                <w:szCs w:val="20"/>
              </w:rPr>
              <w:t>Total</w:t>
            </w:r>
          </w:p>
        </w:tc>
        <w:tc>
          <w:tcPr>
            <w:tcW w:w="50" w:type="pct"/>
            <w:tcMar>
              <w:top w:w="5" w:type="dxa"/>
              <w:left w:w="5" w:type="dxa"/>
              <w:bottom w:w="5" w:type="dxa"/>
              <w:right w:w="5" w:type="dxa"/>
            </w:tcMar>
            <w:vAlign w:val="bottom"/>
            <w:hideMark/>
          </w:tcPr>
          <w:p w14:paraId="6404A19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0B768BC"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3739B017" w14:textId="77777777" w:rsidR="00C820B8" w:rsidRPr="0064652A" w:rsidRDefault="008D7FC6">
            <w:pPr>
              <w:jc w:val="right"/>
              <w:rPr>
                <w:color w:val="000000"/>
                <w:sz w:val="20"/>
                <w:szCs w:val="20"/>
              </w:rPr>
            </w:pPr>
            <w:r w:rsidRPr="0064652A">
              <w:rPr>
                <w:color w:val="000000"/>
                <w:sz w:val="20"/>
                <w:szCs w:val="20"/>
              </w:rPr>
              <w:t>336</w:t>
            </w:r>
          </w:p>
        </w:tc>
        <w:tc>
          <w:tcPr>
            <w:tcW w:w="50" w:type="pct"/>
            <w:noWrap/>
            <w:tcMar>
              <w:top w:w="5" w:type="dxa"/>
              <w:left w:w="5" w:type="dxa"/>
              <w:bottom w:w="5" w:type="dxa"/>
              <w:right w:w="5" w:type="dxa"/>
            </w:tcMar>
            <w:vAlign w:val="bottom"/>
            <w:hideMark/>
          </w:tcPr>
          <w:p w14:paraId="3B253A3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E385F3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3A8F8F9" w14:textId="77777777" w:rsidR="00C820B8" w:rsidRPr="0064652A" w:rsidRDefault="008D7FC6">
            <w:pPr>
              <w:rPr>
                <w:color w:val="000000"/>
                <w:sz w:val="20"/>
                <w:szCs w:val="20"/>
              </w:rPr>
            </w:pPr>
            <w:r w:rsidRPr="0064652A">
              <w:rPr>
                <w:color w:val="000000"/>
                <w:sz w:val="20"/>
                <w:szCs w:val="20"/>
              </w:rPr>
              <w:t>$</w:t>
            </w:r>
          </w:p>
        </w:tc>
        <w:tc>
          <w:tcPr>
            <w:tcW w:w="600" w:type="pct"/>
            <w:tcMar>
              <w:top w:w="5" w:type="dxa"/>
              <w:left w:w="5" w:type="dxa"/>
              <w:bottom w:w="5" w:type="dxa"/>
              <w:right w:w="5" w:type="dxa"/>
            </w:tcMar>
            <w:vAlign w:val="bottom"/>
            <w:hideMark/>
          </w:tcPr>
          <w:p w14:paraId="3464534E" w14:textId="77777777" w:rsidR="00C820B8" w:rsidRPr="0064652A" w:rsidRDefault="008D7FC6">
            <w:pPr>
              <w:jc w:val="right"/>
              <w:rPr>
                <w:color w:val="000000"/>
                <w:sz w:val="20"/>
                <w:szCs w:val="20"/>
              </w:rPr>
            </w:pPr>
            <w:r w:rsidRPr="0064652A">
              <w:rPr>
                <w:color w:val="000000"/>
                <w:sz w:val="20"/>
                <w:szCs w:val="20"/>
              </w:rPr>
              <w:t>1</w:t>
            </w:r>
          </w:p>
        </w:tc>
        <w:tc>
          <w:tcPr>
            <w:tcW w:w="50" w:type="pct"/>
            <w:noWrap/>
            <w:tcMar>
              <w:top w:w="5" w:type="dxa"/>
              <w:left w:w="5" w:type="dxa"/>
              <w:bottom w:w="5" w:type="dxa"/>
              <w:right w:w="5" w:type="dxa"/>
            </w:tcMar>
            <w:vAlign w:val="bottom"/>
            <w:hideMark/>
          </w:tcPr>
          <w:p w14:paraId="07DCB214" w14:textId="77777777" w:rsidR="00C820B8" w:rsidRPr="0064652A" w:rsidRDefault="008D7FC6">
            <w:pPr>
              <w:rPr>
                <w:color w:val="000000"/>
                <w:sz w:val="20"/>
                <w:szCs w:val="20"/>
              </w:rPr>
            </w:pPr>
            <w:r w:rsidRPr="0064652A">
              <w:rPr>
                <w:color w:val="000000"/>
                <w:sz w:val="20"/>
                <w:szCs w:val="20"/>
              </w:rPr>
              <w:t> </w:t>
            </w:r>
          </w:p>
        </w:tc>
      </w:tr>
    </w:tbl>
    <w:p w14:paraId="2DC9D8E5" w14:textId="77777777" w:rsidR="00C820B8" w:rsidRPr="0064652A" w:rsidRDefault="008D7FC6">
      <w:pPr>
        <w:rPr>
          <w:sz w:val="20"/>
          <w:szCs w:val="20"/>
        </w:rPr>
      </w:pPr>
      <w:r w:rsidRPr="0064652A">
        <w:rPr>
          <w:sz w:val="20"/>
          <w:szCs w:val="20"/>
        </w:rPr>
        <w:t> </w:t>
      </w:r>
    </w:p>
    <w:p w14:paraId="33929BEA" w14:textId="77777777" w:rsidR="00C820B8" w:rsidRPr="0064652A" w:rsidRDefault="008D7FC6">
      <w:pPr>
        <w:jc w:val="center"/>
        <w:rPr>
          <w:sz w:val="20"/>
          <w:szCs w:val="20"/>
        </w:rPr>
      </w:pPr>
      <w:r w:rsidRPr="0064652A">
        <w:rPr>
          <w:sz w:val="20"/>
          <w:szCs w:val="20"/>
        </w:rPr>
        <w:t>12</w:t>
      </w:r>
    </w:p>
    <w:p w14:paraId="1A7427DE"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752A2A8A" w14:textId="77777777" w:rsidR="00C820B8" w:rsidRPr="0064652A" w:rsidRDefault="008D7FC6">
      <w:pPr>
        <w:rPr>
          <w:sz w:val="20"/>
          <w:szCs w:val="20"/>
        </w:rPr>
      </w:pPr>
      <w:r w:rsidRPr="0064652A">
        <w:rPr>
          <w:sz w:val="20"/>
          <w:szCs w:val="20"/>
        </w:rPr>
        <w:t> </w:t>
      </w:r>
    </w:p>
    <w:p w14:paraId="6DAEE77E" w14:textId="77777777" w:rsidR="00C820B8" w:rsidRPr="0064652A" w:rsidRDefault="008D7FC6">
      <w:r w:rsidRPr="0064652A">
        <w:t> </w:t>
      </w:r>
    </w:p>
    <w:p w14:paraId="69F3B43F" w14:textId="77777777" w:rsidR="00C820B8" w:rsidRPr="0064652A" w:rsidRDefault="008D7FC6">
      <w:pPr>
        <w:rPr>
          <w:sz w:val="20"/>
          <w:szCs w:val="20"/>
        </w:rPr>
      </w:pPr>
      <w:r w:rsidRPr="0064652A">
        <w:rPr>
          <w:b/>
          <w:bCs/>
          <w:sz w:val="20"/>
          <w:szCs w:val="20"/>
          <w:shd w:val="clear" w:color="auto" w:fill="FFFFFF"/>
        </w:rPr>
        <w:t xml:space="preserve">NOTE 10 </w:t>
      </w:r>
      <w:r w:rsidRPr="0064652A">
        <w:rPr>
          <w:sz w:val="20"/>
          <w:szCs w:val="20"/>
          <w:shd w:val="clear" w:color="auto" w:fill="FFFFFF"/>
        </w:rPr>
        <w:t>—</w:t>
      </w:r>
      <w:r w:rsidRPr="0064652A">
        <w:rPr>
          <w:b/>
          <w:bCs/>
          <w:sz w:val="20"/>
          <w:szCs w:val="20"/>
          <w:shd w:val="clear" w:color="auto" w:fill="FFFFFF"/>
        </w:rPr>
        <w:t xml:space="preserve"> GOVERNMENTAL ASSISTANCE PROGRAMS</w:t>
      </w:r>
      <w:r w:rsidRPr="0064652A">
        <w:rPr>
          <w:sz w:val="20"/>
          <w:szCs w:val="20"/>
          <w:shd w:val="clear" w:color="auto" w:fill="FFFFFF"/>
        </w:rPr>
        <w:t>  </w:t>
      </w:r>
    </w:p>
    <w:p w14:paraId="4556CF3F" w14:textId="77777777" w:rsidR="00C820B8" w:rsidRPr="0064652A" w:rsidRDefault="008D7FC6">
      <w:pPr>
        <w:rPr>
          <w:sz w:val="20"/>
          <w:szCs w:val="20"/>
        </w:rPr>
      </w:pPr>
      <w:r w:rsidRPr="0064652A">
        <w:rPr>
          <w:sz w:val="20"/>
          <w:szCs w:val="20"/>
        </w:rPr>
        <w:t> </w:t>
      </w:r>
    </w:p>
    <w:p w14:paraId="2E596F1E" w14:textId="77777777" w:rsidR="00C820B8" w:rsidRPr="0064652A" w:rsidRDefault="008D7FC6">
      <w:pPr>
        <w:ind w:firstLine="500"/>
        <w:rPr>
          <w:sz w:val="20"/>
          <w:szCs w:val="20"/>
        </w:rPr>
      </w:pPr>
      <w:r w:rsidRPr="0064652A">
        <w:rPr>
          <w:sz w:val="20"/>
          <w:szCs w:val="20"/>
        </w:rPr>
        <w:t xml:space="preserve">During the three month periods ended December 31, 2023 and </w:t>
      </w:r>
      <w:bookmarkStart w:id="20" w:name="led288631F2022881662679800963"/>
      <w:r w:rsidRPr="0064652A">
        <w:rPr>
          <w:sz w:val="20"/>
          <w:szCs w:val="20"/>
        </w:rPr>
        <w:t>December 31, 2022, the Company’s Hong Kong subsidiary recorded income of nil and $4,000, respectively, under the governmental program called the Employment Support Scheme (“ESS”). During the nine month periods ended December 31, 2023 and December 31, 2022</w:t>
      </w:r>
      <w:bookmarkEnd w:id="20"/>
      <w:r w:rsidRPr="0064652A">
        <w:rPr>
          <w:sz w:val="20"/>
          <w:szCs w:val="20"/>
        </w:rPr>
        <w:t>, the Company’s Hong Kong subsidiary recorded income of nil and $34,000, respectively, under the ESS program. The proceeds were required to be used for payroll expenses and the Company was subject to government-appointed random reviews to verify the information submitted by the applicant. </w:t>
      </w:r>
    </w:p>
    <w:p w14:paraId="38089376" w14:textId="77777777" w:rsidR="00C820B8" w:rsidRPr="0064652A" w:rsidRDefault="008D7FC6">
      <w:pPr>
        <w:ind w:left="60" w:firstLine="500"/>
        <w:rPr>
          <w:sz w:val="20"/>
          <w:szCs w:val="20"/>
        </w:rPr>
      </w:pPr>
      <w:r w:rsidRPr="0064652A">
        <w:rPr>
          <w:sz w:val="20"/>
          <w:szCs w:val="20"/>
        </w:rPr>
        <w:t> </w:t>
      </w:r>
    </w:p>
    <w:p w14:paraId="3C0DED3C" w14:textId="77777777" w:rsidR="00C820B8" w:rsidRPr="0064652A" w:rsidRDefault="008D7FC6">
      <w:pPr>
        <w:ind w:firstLine="500"/>
        <w:rPr>
          <w:sz w:val="20"/>
          <w:szCs w:val="20"/>
        </w:rPr>
      </w:pPr>
      <w:r w:rsidRPr="0064652A">
        <w:rPr>
          <w:sz w:val="20"/>
          <w:szCs w:val="20"/>
        </w:rPr>
        <w:t>The income realized from the amount granted under the ESS program is presented as Other Income under the description called “Income from governmental assistance programs” in the Consolidated Statements of Operations.</w:t>
      </w:r>
    </w:p>
    <w:p w14:paraId="7D52E8B1" w14:textId="77777777" w:rsidR="00C820B8" w:rsidRPr="0064652A" w:rsidRDefault="008D7FC6">
      <w:pPr>
        <w:ind w:firstLine="500"/>
        <w:rPr>
          <w:sz w:val="20"/>
          <w:szCs w:val="20"/>
        </w:rPr>
      </w:pPr>
      <w:r w:rsidRPr="0064652A">
        <w:rPr>
          <w:sz w:val="20"/>
          <w:szCs w:val="20"/>
        </w:rPr>
        <w:t> </w:t>
      </w:r>
    </w:p>
    <w:p w14:paraId="70B5BC98" w14:textId="77777777" w:rsidR="00C820B8" w:rsidRPr="0064652A" w:rsidRDefault="008D7FC6">
      <w:r w:rsidRPr="0064652A">
        <w:t> </w:t>
      </w:r>
    </w:p>
    <w:p w14:paraId="0710FB73" w14:textId="77777777" w:rsidR="00C820B8" w:rsidRPr="0064652A" w:rsidRDefault="008D7FC6">
      <w:pPr>
        <w:rPr>
          <w:sz w:val="20"/>
          <w:szCs w:val="20"/>
        </w:rPr>
      </w:pPr>
      <w:r w:rsidRPr="0064652A">
        <w:rPr>
          <w:b/>
          <w:bCs/>
          <w:sz w:val="20"/>
          <w:szCs w:val="20"/>
          <w:shd w:val="clear" w:color="auto" w:fill="FFFFFF"/>
        </w:rPr>
        <w:t xml:space="preserve">NOTE 11 </w:t>
      </w:r>
      <w:r w:rsidRPr="0064652A">
        <w:rPr>
          <w:sz w:val="20"/>
          <w:szCs w:val="20"/>
          <w:shd w:val="clear" w:color="auto" w:fill="FFFFFF"/>
        </w:rPr>
        <w:t>—</w:t>
      </w:r>
      <w:r w:rsidRPr="0064652A">
        <w:rPr>
          <w:b/>
          <w:bCs/>
          <w:sz w:val="20"/>
          <w:szCs w:val="20"/>
          <w:shd w:val="clear" w:color="auto" w:fill="FFFFFF"/>
        </w:rPr>
        <w:t xml:space="preserve"> LEGAL PROCEEDINGS</w:t>
      </w:r>
    </w:p>
    <w:p w14:paraId="318B115E" w14:textId="77777777" w:rsidR="00C820B8" w:rsidRPr="0064652A" w:rsidRDefault="008D7FC6">
      <w:pPr>
        <w:rPr>
          <w:sz w:val="20"/>
          <w:szCs w:val="20"/>
        </w:rPr>
      </w:pPr>
      <w:r w:rsidRPr="0064652A">
        <w:rPr>
          <w:sz w:val="20"/>
          <w:szCs w:val="20"/>
        </w:rPr>
        <w:t> </w:t>
      </w:r>
    </w:p>
    <w:p w14:paraId="3F260B88" w14:textId="77777777" w:rsidR="00C820B8" w:rsidRPr="0064652A" w:rsidRDefault="008D7FC6">
      <w:pPr>
        <w:ind w:firstLine="500"/>
        <w:rPr>
          <w:sz w:val="20"/>
          <w:szCs w:val="20"/>
        </w:rPr>
      </w:pPr>
      <w:r w:rsidRPr="0064652A">
        <w:rPr>
          <w:sz w:val="20"/>
          <w:szCs w:val="20"/>
        </w:rPr>
        <w:t>On April 19, 2022, the U.S. District Court for the District of Delaware (the "District Court") granted judgment in favor of the Company in its trademark infringement lawsuit against air conditioning and heating products provider Emerson Quiet Kool and wholesaler Home Easy (the “Defendants”). Among other things, the District Court's order included an injunction prohibiting Defendants’ distribution, manufacturing, and sales of EMERSON QUIET KOOL branded products or use of that trademark and directed the U.S. Patent and Trademark Office to cancel Defendants’ trademark registration for the EMERSON QUIET KOOL trademark and prohibited Defendants from attempting to register that mark or any other confusingly similar mark in the future. The judgment also awards $6.5 million to the Company. The Defendants, through a third party, made certain payments to the Company, including certain advances towards a portion of their liability. Those amounts were previously reflected as advanced deposits in the Consolidated Balance Sheets. The aggregate amount of the payments is $4.1 million, which has been reduced by approximately $784,000 for legal fees incurred in fiscal 2023 and approximately $216,000 for legal fees incurred in fiscal 2024, in pursuit of the advanced deposits. Separately, on July 11, 2023, the U.S. Court of Appeals for the Third Circuit affirmed the District Court's judgment against the Defendants. On September 29, 2023, the District Court granted the Company’s request for final judgement including approximately $3.16 million in legal fees and $700,000 in enhanced damages, along with the prospect of additional damages due to Defendants’ alleged contempt of court. The Company is pursuing all available remedies against the Defendants and those acting in concert with them. There is no guarantee that the Company will be able to collect the entire judgment or that any negotiated resolution regarding these matters will ever be agreed among the parties or, if agreed, how soon the parties might be able to do so. Due to the legal judgement having been affirmed as stated above, the Company released the balance of the advanced deposits of approximately $3,100,000, to other income during the quarter ended September 30, 2023. </w:t>
      </w:r>
    </w:p>
    <w:p w14:paraId="319525B7" w14:textId="77777777" w:rsidR="00C820B8" w:rsidRPr="0064652A" w:rsidRDefault="008D7FC6">
      <w:pPr>
        <w:rPr>
          <w:sz w:val="20"/>
          <w:szCs w:val="20"/>
        </w:rPr>
      </w:pPr>
      <w:r w:rsidRPr="0064652A">
        <w:rPr>
          <w:sz w:val="20"/>
          <w:szCs w:val="20"/>
        </w:rPr>
        <w:t> </w:t>
      </w:r>
    </w:p>
    <w:p w14:paraId="41D4B7FE" w14:textId="77777777" w:rsidR="00C820B8" w:rsidRPr="0064652A" w:rsidRDefault="008D7FC6">
      <w:pPr>
        <w:jc w:val="center"/>
        <w:rPr>
          <w:sz w:val="20"/>
          <w:szCs w:val="20"/>
        </w:rPr>
      </w:pPr>
      <w:r w:rsidRPr="0064652A">
        <w:rPr>
          <w:sz w:val="20"/>
          <w:szCs w:val="20"/>
        </w:rPr>
        <w:t>13</w:t>
      </w:r>
    </w:p>
    <w:p w14:paraId="18A3754D"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51D7BF46" w14:textId="77777777" w:rsidR="00C820B8" w:rsidRPr="0064652A" w:rsidRDefault="008D7FC6">
      <w:pPr>
        <w:rPr>
          <w:sz w:val="20"/>
          <w:szCs w:val="20"/>
        </w:rPr>
      </w:pPr>
      <w:r w:rsidRPr="0064652A">
        <w:rPr>
          <w:sz w:val="20"/>
          <w:szCs w:val="20"/>
        </w:rPr>
        <w:t> </w:t>
      </w:r>
    </w:p>
    <w:p w14:paraId="5CD1B206" w14:textId="77777777" w:rsidR="00C820B8" w:rsidRPr="0064652A" w:rsidRDefault="008D7FC6">
      <w:r w:rsidRPr="0064652A">
        <w:t> </w:t>
      </w:r>
    </w:p>
    <w:p w14:paraId="73A788F6" w14:textId="77777777" w:rsidR="00C820B8" w:rsidRPr="0064652A" w:rsidRDefault="008D7FC6">
      <w:pPr>
        <w:rPr>
          <w:sz w:val="20"/>
          <w:szCs w:val="20"/>
        </w:rPr>
      </w:pPr>
      <w:bookmarkStart w:id="21" w:name="mda"/>
      <w:bookmarkEnd w:id="21"/>
      <w:r w:rsidRPr="0064652A">
        <w:rPr>
          <w:b/>
          <w:bCs/>
          <w:sz w:val="20"/>
          <w:szCs w:val="20"/>
        </w:rPr>
        <w:t>Item</w:t>
      </w:r>
      <w:r w:rsidRPr="0064652A">
        <w:rPr>
          <w:sz w:val="20"/>
          <w:szCs w:val="20"/>
        </w:rPr>
        <w:t> </w:t>
      </w:r>
      <w:r w:rsidRPr="0064652A">
        <w:rPr>
          <w:b/>
          <w:bCs/>
          <w:sz w:val="20"/>
          <w:szCs w:val="20"/>
        </w:rPr>
        <w:t>2. Management</w:t>
      </w:r>
      <w:r w:rsidRPr="0064652A">
        <w:rPr>
          <w:sz w:val="20"/>
          <w:szCs w:val="20"/>
        </w:rPr>
        <w:t>’</w:t>
      </w:r>
      <w:r w:rsidRPr="0064652A">
        <w:rPr>
          <w:b/>
          <w:bCs/>
          <w:sz w:val="20"/>
          <w:szCs w:val="20"/>
        </w:rPr>
        <w:t>s Discussion and Analysis of Results of Operations and Financial Condition.</w:t>
      </w:r>
    </w:p>
    <w:p w14:paraId="7D3E3E13" w14:textId="77777777" w:rsidR="00C820B8" w:rsidRPr="0064652A" w:rsidRDefault="008D7FC6">
      <w:pPr>
        <w:rPr>
          <w:sz w:val="20"/>
          <w:szCs w:val="20"/>
        </w:rPr>
      </w:pPr>
      <w:r w:rsidRPr="0064652A">
        <w:rPr>
          <w:sz w:val="20"/>
          <w:szCs w:val="20"/>
        </w:rPr>
        <w:t> </w:t>
      </w:r>
    </w:p>
    <w:p w14:paraId="57E050B8" w14:textId="77777777" w:rsidR="00C820B8" w:rsidRPr="0064652A" w:rsidRDefault="008D7FC6">
      <w:pPr>
        <w:ind w:firstLine="500"/>
        <w:rPr>
          <w:sz w:val="20"/>
          <w:szCs w:val="20"/>
        </w:rPr>
      </w:pPr>
      <w:r w:rsidRPr="0064652A">
        <w:rPr>
          <w:sz w:val="20"/>
          <w:szCs w:val="20"/>
        </w:rPr>
        <w:t>The following discussion of the Company’s operations and financial condition should be read in conjunction with the Financial Statements and notes thereto included elsewhere in this Quarterly Report</w:t>
      </w:r>
      <w:r w:rsidRPr="0064652A">
        <w:rPr>
          <w:rStyle w:val="ins"/>
          <w:sz w:val="20"/>
          <w:szCs w:val="20"/>
        </w:rPr>
        <w:t xml:space="preserve"> on Form 10-Q</w:t>
      </w:r>
      <w:r w:rsidRPr="0064652A">
        <w:rPr>
          <w:sz w:val="20"/>
          <w:szCs w:val="20"/>
        </w:rPr>
        <w:t>.</w:t>
      </w:r>
    </w:p>
    <w:p w14:paraId="53857963" w14:textId="77777777" w:rsidR="00C820B8" w:rsidRPr="0064652A" w:rsidRDefault="008D7FC6">
      <w:pPr>
        <w:rPr>
          <w:sz w:val="20"/>
          <w:szCs w:val="20"/>
        </w:rPr>
      </w:pPr>
      <w:r w:rsidRPr="0064652A">
        <w:rPr>
          <w:sz w:val="20"/>
          <w:szCs w:val="20"/>
        </w:rPr>
        <w:t> </w:t>
      </w:r>
    </w:p>
    <w:p w14:paraId="428E9CF0" w14:textId="77777777" w:rsidR="00C820B8" w:rsidRPr="0064652A" w:rsidRDefault="008D7FC6">
      <w:pPr>
        <w:ind w:firstLine="500"/>
        <w:rPr>
          <w:sz w:val="20"/>
          <w:szCs w:val="20"/>
        </w:rPr>
      </w:pPr>
      <w:r w:rsidRPr="0064652A">
        <w:rPr>
          <w:sz w:val="20"/>
          <w:szCs w:val="20"/>
        </w:rPr>
        <w:t>In the following discussions, most percentages and dollar amounts have been rounded to aid presentation. Accordingly, all amounts are approximations.</w:t>
      </w:r>
    </w:p>
    <w:p w14:paraId="74277216" w14:textId="77777777" w:rsidR="00C820B8" w:rsidRPr="0064652A" w:rsidRDefault="008D7FC6">
      <w:pPr>
        <w:rPr>
          <w:sz w:val="20"/>
          <w:szCs w:val="20"/>
        </w:rPr>
      </w:pPr>
      <w:r w:rsidRPr="0064652A">
        <w:rPr>
          <w:sz w:val="20"/>
          <w:szCs w:val="20"/>
        </w:rPr>
        <w:t> </w:t>
      </w:r>
    </w:p>
    <w:p w14:paraId="28509A19" w14:textId="77777777" w:rsidR="00C820B8" w:rsidRPr="0064652A" w:rsidRDefault="008D7FC6">
      <w:pPr>
        <w:rPr>
          <w:sz w:val="20"/>
          <w:szCs w:val="20"/>
        </w:rPr>
      </w:pPr>
      <w:r w:rsidRPr="0064652A">
        <w:rPr>
          <w:b/>
          <w:bCs/>
          <w:sz w:val="20"/>
          <w:szCs w:val="20"/>
        </w:rPr>
        <w:t>Forward-Looking Information</w:t>
      </w:r>
    </w:p>
    <w:p w14:paraId="37347E55" w14:textId="77777777" w:rsidR="00C820B8" w:rsidRPr="0064652A" w:rsidRDefault="008D7FC6">
      <w:pPr>
        <w:rPr>
          <w:sz w:val="20"/>
          <w:szCs w:val="20"/>
        </w:rPr>
      </w:pPr>
      <w:r w:rsidRPr="0064652A">
        <w:rPr>
          <w:sz w:val="20"/>
          <w:szCs w:val="20"/>
        </w:rPr>
        <w:t> </w:t>
      </w:r>
    </w:p>
    <w:p w14:paraId="73DF6721" w14:textId="77777777" w:rsidR="00C820B8" w:rsidRPr="0064652A" w:rsidRDefault="008D7FC6">
      <w:pPr>
        <w:ind w:firstLine="500"/>
        <w:rPr>
          <w:sz w:val="20"/>
          <w:szCs w:val="20"/>
        </w:rPr>
      </w:pPr>
      <w:r w:rsidRPr="0064652A">
        <w:rPr>
          <w:sz w:val="20"/>
          <w:szCs w:val="20"/>
        </w:rPr>
        <w:t>This report contains forward-looking statements within the meaning of Section 27A of the Securities Act of 1933, as amended, and Section 21E of the Securities Exchange Act of 1934, as amended (the “Exchange Act”).</w:t>
      </w:r>
    </w:p>
    <w:p w14:paraId="5C845E8A" w14:textId="77777777" w:rsidR="00C820B8" w:rsidRPr="0064652A" w:rsidRDefault="008D7FC6">
      <w:pPr>
        <w:rPr>
          <w:sz w:val="20"/>
          <w:szCs w:val="20"/>
        </w:rPr>
      </w:pPr>
      <w:r w:rsidRPr="0064652A">
        <w:rPr>
          <w:sz w:val="20"/>
          <w:szCs w:val="20"/>
        </w:rPr>
        <w:t> </w:t>
      </w:r>
    </w:p>
    <w:p w14:paraId="5D2BB038" w14:textId="77777777" w:rsidR="00C820B8" w:rsidRPr="0064652A" w:rsidRDefault="008D7FC6">
      <w:pPr>
        <w:ind w:firstLine="500"/>
        <w:rPr>
          <w:sz w:val="20"/>
          <w:szCs w:val="20"/>
        </w:rPr>
      </w:pPr>
      <w:r w:rsidRPr="0064652A">
        <w:rPr>
          <w:sz w:val="20"/>
          <w:szCs w:val="20"/>
        </w:rPr>
        <w:t>Forward-looking statements include statements with respect to the Company’s beliefs, plans, objectives, goals, expectations, anticipations, assumptions, estimates, intentions, and future performance, and involve known and unknown risks, uncertainties and other factors, which may be beyond the Company’s control, and which may cause the Company’s actual results, performance or achievements to be materially different from future results, performance or achievements expressed or implied by such forward-looking statements.</w:t>
      </w:r>
    </w:p>
    <w:p w14:paraId="7014373F" w14:textId="77777777" w:rsidR="00C820B8" w:rsidRPr="0064652A" w:rsidRDefault="008D7FC6">
      <w:pPr>
        <w:rPr>
          <w:sz w:val="20"/>
          <w:szCs w:val="20"/>
        </w:rPr>
      </w:pPr>
      <w:r w:rsidRPr="0064652A">
        <w:rPr>
          <w:sz w:val="20"/>
          <w:szCs w:val="20"/>
        </w:rPr>
        <w:t> </w:t>
      </w:r>
    </w:p>
    <w:p w14:paraId="52986319" w14:textId="77777777" w:rsidR="00C820B8" w:rsidRPr="0064652A" w:rsidRDefault="008D7FC6">
      <w:pPr>
        <w:ind w:firstLine="500"/>
        <w:rPr>
          <w:sz w:val="20"/>
          <w:szCs w:val="20"/>
        </w:rPr>
      </w:pPr>
      <w:r w:rsidRPr="0064652A">
        <w:rPr>
          <w:sz w:val="20"/>
          <w:szCs w:val="20"/>
        </w:rPr>
        <w:t>All statements other than statements of historical fact are statements that could be forward-looking statements. The reader can identify these forward-looking statements through the Company’s use of words such as “may,” “will,” “can,” “anticipate,” “assume,” “should,” “indicate,” “would,” “believe,” “contemplate,” “expect,” “seek,” “estimate,” “continue,” “plan,” “project,” “predict,” “could,” “intend,” “target,” “potential,” and other similar words and expressions of the future. These forward-looking statements may not be realized due to a variety of factors, including, without limitation:</w:t>
      </w:r>
    </w:p>
    <w:p w14:paraId="3B1E8F9F"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292C64E5" w14:textId="77777777">
        <w:tc>
          <w:tcPr>
            <w:tcW w:w="500" w:type="dxa"/>
            <w:tcMar>
              <w:top w:w="5" w:type="dxa"/>
              <w:left w:w="5" w:type="dxa"/>
              <w:bottom w:w="5" w:type="dxa"/>
              <w:right w:w="5" w:type="dxa"/>
            </w:tcMar>
            <w:vAlign w:val="center"/>
            <w:hideMark/>
          </w:tcPr>
          <w:p w14:paraId="1E78A2ED"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150F219C"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00892A67" w14:textId="77777777" w:rsidR="00C820B8" w:rsidRPr="0064652A" w:rsidRDefault="008D7FC6">
            <w:pPr>
              <w:rPr>
                <w:color w:val="000000"/>
                <w:sz w:val="20"/>
                <w:szCs w:val="20"/>
              </w:rPr>
            </w:pPr>
            <w:r w:rsidRPr="0064652A">
              <w:rPr>
                <w:color w:val="000000"/>
                <w:sz w:val="20"/>
                <w:szCs w:val="20"/>
              </w:rPr>
              <w:t>the Company’s ability to generate sufficient revenue to achieve and maintain profitability;</w:t>
            </w:r>
          </w:p>
        </w:tc>
      </w:tr>
    </w:tbl>
    <w:p w14:paraId="272776DE"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0875A02D" w14:textId="77777777">
        <w:tc>
          <w:tcPr>
            <w:tcW w:w="500" w:type="dxa"/>
            <w:tcMar>
              <w:top w:w="5" w:type="dxa"/>
              <w:left w:w="5" w:type="dxa"/>
              <w:bottom w:w="5" w:type="dxa"/>
              <w:right w:w="5" w:type="dxa"/>
            </w:tcMar>
            <w:vAlign w:val="center"/>
            <w:hideMark/>
          </w:tcPr>
          <w:p w14:paraId="3007E12D"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39565839"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40834EDF" w14:textId="77777777" w:rsidR="00C820B8" w:rsidRPr="0064652A" w:rsidRDefault="008D7FC6">
            <w:pPr>
              <w:rPr>
                <w:color w:val="000000"/>
                <w:sz w:val="20"/>
                <w:szCs w:val="20"/>
              </w:rPr>
            </w:pPr>
            <w:r w:rsidRPr="0064652A">
              <w:rPr>
                <w:color w:val="000000"/>
                <w:sz w:val="20"/>
                <w:szCs w:val="20"/>
              </w:rPr>
              <w:t>the Company’s ability to obtain new customers and retain key existing customers, including the Company’s ability to maintain purchase volumes of the Company’s products by its key customers;</w:t>
            </w:r>
          </w:p>
        </w:tc>
      </w:tr>
    </w:tbl>
    <w:p w14:paraId="238E85B0"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3E7CF72F" w14:textId="77777777">
        <w:tc>
          <w:tcPr>
            <w:tcW w:w="500" w:type="dxa"/>
            <w:tcMar>
              <w:top w:w="5" w:type="dxa"/>
              <w:left w:w="5" w:type="dxa"/>
              <w:bottom w:w="5" w:type="dxa"/>
              <w:right w:w="5" w:type="dxa"/>
            </w:tcMar>
            <w:vAlign w:val="center"/>
            <w:hideMark/>
          </w:tcPr>
          <w:p w14:paraId="2DAB7247"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254BD042"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68812BDF" w14:textId="77777777" w:rsidR="00C820B8" w:rsidRPr="0064652A" w:rsidRDefault="008D7FC6">
            <w:pPr>
              <w:rPr>
                <w:color w:val="000000"/>
                <w:sz w:val="20"/>
                <w:szCs w:val="20"/>
              </w:rPr>
            </w:pPr>
            <w:r w:rsidRPr="0064652A">
              <w:rPr>
                <w:color w:val="000000"/>
                <w:sz w:val="20"/>
                <w:szCs w:val="20"/>
              </w:rPr>
              <w:t>the Company’s ability to obtain new licensees and distribution relationships and maintain relationships with its existing licensees and distributors;</w:t>
            </w:r>
          </w:p>
        </w:tc>
      </w:tr>
    </w:tbl>
    <w:p w14:paraId="5B239280"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1D902B81" w14:textId="77777777">
        <w:tc>
          <w:tcPr>
            <w:tcW w:w="500" w:type="dxa"/>
            <w:tcMar>
              <w:top w:w="5" w:type="dxa"/>
              <w:left w:w="5" w:type="dxa"/>
              <w:bottom w:w="5" w:type="dxa"/>
              <w:right w:w="5" w:type="dxa"/>
            </w:tcMar>
            <w:vAlign w:val="center"/>
            <w:hideMark/>
          </w:tcPr>
          <w:p w14:paraId="7EB81CD3"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7836D32B"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6A501706" w14:textId="77777777" w:rsidR="00C820B8" w:rsidRPr="0064652A" w:rsidRDefault="008D7FC6">
            <w:pPr>
              <w:rPr>
                <w:color w:val="000000"/>
                <w:sz w:val="20"/>
                <w:szCs w:val="20"/>
              </w:rPr>
            </w:pPr>
            <w:r w:rsidRPr="0064652A">
              <w:rPr>
                <w:color w:val="000000"/>
                <w:sz w:val="20"/>
                <w:szCs w:val="20"/>
              </w:rPr>
              <w:t>the Company’s ability to resist price increases from its suppliers or pass through such increases to its customers;</w:t>
            </w:r>
          </w:p>
        </w:tc>
      </w:tr>
    </w:tbl>
    <w:p w14:paraId="3EE1C409"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69E4240C" w14:textId="77777777">
        <w:tc>
          <w:tcPr>
            <w:tcW w:w="500" w:type="dxa"/>
            <w:tcMar>
              <w:top w:w="5" w:type="dxa"/>
              <w:left w:w="5" w:type="dxa"/>
              <w:bottom w:w="5" w:type="dxa"/>
              <w:right w:w="5" w:type="dxa"/>
            </w:tcMar>
            <w:vAlign w:val="center"/>
            <w:hideMark/>
          </w:tcPr>
          <w:p w14:paraId="762A74BE"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55CD974E"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4B3275F5" w14:textId="77777777" w:rsidR="00C820B8" w:rsidRPr="0064652A" w:rsidRDefault="008D7FC6">
            <w:pPr>
              <w:rPr>
                <w:color w:val="000000"/>
                <w:sz w:val="20"/>
                <w:szCs w:val="20"/>
              </w:rPr>
            </w:pPr>
            <w:r w:rsidRPr="0064652A">
              <w:rPr>
                <w:color w:val="000000"/>
                <w:sz w:val="20"/>
                <w:szCs w:val="20"/>
              </w:rPr>
              <w:t>changes in consumer spending for retail products, such as the Company’s products, and in consumer practices, including sales over the Internet;</w:t>
            </w:r>
          </w:p>
        </w:tc>
      </w:tr>
    </w:tbl>
    <w:p w14:paraId="7047DDB6"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147C9C3E" w14:textId="77777777">
        <w:tc>
          <w:tcPr>
            <w:tcW w:w="500" w:type="dxa"/>
            <w:tcMar>
              <w:top w:w="5" w:type="dxa"/>
              <w:left w:w="5" w:type="dxa"/>
              <w:bottom w:w="5" w:type="dxa"/>
              <w:right w:w="5" w:type="dxa"/>
            </w:tcMar>
            <w:vAlign w:val="center"/>
            <w:hideMark/>
          </w:tcPr>
          <w:p w14:paraId="10118AE7"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0C0A7618"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086136B6" w14:textId="77777777" w:rsidR="00C820B8" w:rsidRPr="0064652A" w:rsidRDefault="008D7FC6">
            <w:pPr>
              <w:rPr>
                <w:color w:val="000000"/>
                <w:sz w:val="20"/>
                <w:szCs w:val="20"/>
              </w:rPr>
            </w:pPr>
            <w:r w:rsidRPr="0064652A">
              <w:rPr>
                <w:color w:val="000000"/>
                <w:sz w:val="20"/>
                <w:szCs w:val="20"/>
              </w:rPr>
              <w:t>the Company’s ability to maintain effective internal controls or compliance by its personnel with suc</w:t>
            </w:r>
            <w:r w:rsidRPr="0064652A">
              <w:rPr>
                <w:color w:val="000000"/>
                <w:sz w:val="20"/>
                <w:szCs w:val="20"/>
                <w:shd w:val="clear" w:color="auto" w:fill="FFFFFF"/>
              </w:rPr>
              <w:t>h internal controls;  </w:t>
            </w:r>
          </w:p>
        </w:tc>
      </w:tr>
    </w:tbl>
    <w:p w14:paraId="0B82ABE0"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7E1C20FF" w14:textId="77777777">
        <w:tc>
          <w:tcPr>
            <w:tcW w:w="500" w:type="dxa"/>
            <w:tcMar>
              <w:top w:w="5" w:type="dxa"/>
              <w:left w:w="5" w:type="dxa"/>
              <w:bottom w:w="5" w:type="dxa"/>
              <w:right w:w="5" w:type="dxa"/>
            </w:tcMar>
            <w:vAlign w:val="center"/>
            <w:hideMark/>
          </w:tcPr>
          <w:p w14:paraId="2F087071"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71CE5E23"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14FE62AC" w14:textId="77777777" w:rsidR="00C820B8" w:rsidRPr="0064652A" w:rsidRDefault="008D7FC6">
            <w:pPr>
              <w:rPr>
                <w:color w:val="000000"/>
                <w:sz w:val="20"/>
                <w:szCs w:val="20"/>
              </w:rPr>
            </w:pPr>
            <w:r w:rsidRPr="0064652A">
              <w:rPr>
                <w:color w:val="000000"/>
                <w:sz w:val="20"/>
                <w:szCs w:val="20"/>
              </w:rPr>
              <w:t>the Company’s ability to successfully manage its operating cash flows to fund its operations;</w:t>
            </w:r>
          </w:p>
        </w:tc>
      </w:tr>
    </w:tbl>
    <w:p w14:paraId="182ABF8A"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78B8918A" w14:textId="77777777">
        <w:tc>
          <w:tcPr>
            <w:tcW w:w="500" w:type="dxa"/>
            <w:tcMar>
              <w:top w:w="5" w:type="dxa"/>
              <w:left w:w="5" w:type="dxa"/>
              <w:bottom w:w="5" w:type="dxa"/>
              <w:right w:w="5" w:type="dxa"/>
            </w:tcMar>
            <w:vAlign w:val="center"/>
            <w:hideMark/>
          </w:tcPr>
          <w:p w14:paraId="3B02D000"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75F252AF"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6C5AF6BD" w14:textId="77777777" w:rsidR="00C820B8" w:rsidRPr="0064652A" w:rsidRDefault="008D7FC6">
            <w:pPr>
              <w:rPr>
                <w:color w:val="000000"/>
                <w:sz w:val="20"/>
                <w:szCs w:val="20"/>
              </w:rPr>
            </w:pPr>
            <w:r w:rsidRPr="0064652A">
              <w:rPr>
                <w:color w:val="000000"/>
                <w:sz w:val="20"/>
                <w:szCs w:val="20"/>
              </w:rPr>
              <w:t>the Company’s ability to anticipate market trends, enhance existing products or achieve market acceptance of new products;</w:t>
            </w:r>
          </w:p>
        </w:tc>
      </w:tr>
    </w:tbl>
    <w:p w14:paraId="5BB45617"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6863E648" w14:textId="77777777">
        <w:tc>
          <w:tcPr>
            <w:tcW w:w="500" w:type="dxa"/>
            <w:tcMar>
              <w:top w:w="5" w:type="dxa"/>
              <w:left w:w="5" w:type="dxa"/>
              <w:bottom w:w="5" w:type="dxa"/>
              <w:right w:w="5" w:type="dxa"/>
            </w:tcMar>
            <w:vAlign w:val="center"/>
            <w:hideMark/>
          </w:tcPr>
          <w:p w14:paraId="30578D0B"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29CAACEC"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5F58AFFA" w14:textId="77777777" w:rsidR="00C820B8" w:rsidRPr="0064652A" w:rsidRDefault="008D7FC6">
            <w:pPr>
              <w:rPr>
                <w:color w:val="000000"/>
                <w:sz w:val="20"/>
                <w:szCs w:val="20"/>
              </w:rPr>
            </w:pPr>
            <w:r w:rsidRPr="0064652A">
              <w:rPr>
                <w:color w:val="000000"/>
                <w:sz w:val="20"/>
                <w:szCs w:val="20"/>
              </w:rPr>
              <w:t>the Company’s ability to accurately forecast consumer demand and adequately manage inventory;</w:t>
            </w:r>
          </w:p>
        </w:tc>
      </w:tr>
    </w:tbl>
    <w:p w14:paraId="5B86378A"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68DEFA56" w14:textId="77777777">
        <w:tc>
          <w:tcPr>
            <w:tcW w:w="500" w:type="dxa"/>
            <w:tcMar>
              <w:top w:w="5" w:type="dxa"/>
              <w:left w:w="5" w:type="dxa"/>
              <w:bottom w:w="5" w:type="dxa"/>
              <w:right w:w="5" w:type="dxa"/>
            </w:tcMar>
            <w:vAlign w:val="center"/>
            <w:hideMark/>
          </w:tcPr>
          <w:p w14:paraId="470D8BBD"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6DB6ACFF"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14179C97" w14:textId="77777777" w:rsidR="00C820B8" w:rsidRPr="0064652A" w:rsidRDefault="008D7FC6">
            <w:pPr>
              <w:rPr>
                <w:color w:val="000000"/>
                <w:sz w:val="20"/>
                <w:szCs w:val="20"/>
              </w:rPr>
            </w:pPr>
            <w:r w:rsidRPr="0064652A">
              <w:rPr>
                <w:color w:val="000000"/>
                <w:sz w:val="20"/>
                <w:szCs w:val="20"/>
              </w:rPr>
              <w:t>the Company’s dependence on a limited number of suppliers for its components a</w:t>
            </w:r>
            <w:r w:rsidRPr="0064652A">
              <w:rPr>
                <w:color w:val="000000"/>
                <w:sz w:val="20"/>
                <w:szCs w:val="20"/>
                <w:shd w:val="clear" w:color="auto" w:fill="FFFFFF"/>
              </w:rPr>
              <w:t>nd raw materials;</w:t>
            </w:r>
          </w:p>
        </w:tc>
      </w:tr>
    </w:tbl>
    <w:p w14:paraId="4D3698E5"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66DEC72E" w14:textId="77777777">
        <w:tc>
          <w:tcPr>
            <w:tcW w:w="500" w:type="dxa"/>
            <w:tcMar>
              <w:top w:w="5" w:type="dxa"/>
              <w:left w:w="5" w:type="dxa"/>
              <w:bottom w:w="5" w:type="dxa"/>
              <w:right w:w="5" w:type="dxa"/>
            </w:tcMar>
            <w:vAlign w:val="center"/>
            <w:hideMark/>
          </w:tcPr>
          <w:p w14:paraId="4294795C"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5500950A"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12627993" w14:textId="77777777" w:rsidR="00C820B8" w:rsidRPr="0064652A" w:rsidRDefault="008D7FC6">
            <w:pPr>
              <w:rPr>
                <w:color w:val="000000"/>
                <w:sz w:val="20"/>
                <w:szCs w:val="20"/>
              </w:rPr>
            </w:pPr>
            <w:r w:rsidRPr="0064652A">
              <w:rPr>
                <w:color w:val="000000"/>
                <w:sz w:val="20"/>
                <w:szCs w:val="20"/>
              </w:rPr>
              <w:t>the Company’s dependence on third party manufacturers to manufacture and deliver its products;</w:t>
            </w:r>
          </w:p>
        </w:tc>
      </w:tr>
    </w:tbl>
    <w:p w14:paraId="0B8C1431"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42D74C35" w14:textId="77777777">
        <w:tc>
          <w:tcPr>
            <w:tcW w:w="500" w:type="dxa"/>
            <w:tcMar>
              <w:top w:w="5" w:type="dxa"/>
              <w:left w:w="5" w:type="dxa"/>
              <w:bottom w:w="5" w:type="dxa"/>
              <w:right w:w="5" w:type="dxa"/>
            </w:tcMar>
            <w:vAlign w:val="center"/>
            <w:hideMark/>
          </w:tcPr>
          <w:p w14:paraId="17EF6588"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5616E20E"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46EB1026" w14:textId="77777777" w:rsidR="00C820B8" w:rsidRPr="0064652A" w:rsidRDefault="008D7FC6">
            <w:pPr>
              <w:rPr>
                <w:color w:val="000000"/>
                <w:sz w:val="20"/>
                <w:szCs w:val="20"/>
              </w:rPr>
            </w:pPr>
            <w:r w:rsidRPr="0064652A">
              <w:rPr>
                <w:color w:val="000000"/>
                <w:sz w:val="20"/>
                <w:szCs w:val="20"/>
              </w:rPr>
              <w:t>increases in shipping costs for the Company’s products or other service issues with the Company’s third-party shippers;</w:t>
            </w:r>
          </w:p>
        </w:tc>
      </w:tr>
    </w:tbl>
    <w:p w14:paraId="58937541"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52E52208" w14:textId="77777777">
        <w:tc>
          <w:tcPr>
            <w:tcW w:w="500" w:type="dxa"/>
            <w:tcMar>
              <w:top w:w="5" w:type="dxa"/>
              <w:left w:w="5" w:type="dxa"/>
              <w:bottom w:w="5" w:type="dxa"/>
              <w:right w:w="5" w:type="dxa"/>
            </w:tcMar>
            <w:vAlign w:val="center"/>
            <w:hideMark/>
          </w:tcPr>
          <w:p w14:paraId="2C061CF3"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0191640F"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41B83564" w14:textId="77777777" w:rsidR="00C820B8" w:rsidRPr="0064652A" w:rsidRDefault="008D7FC6">
            <w:pPr>
              <w:rPr>
                <w:color w:val="000000"/>
                <w:sz w:val="20"/>
                <w:szCs w:val="20"/>
              </w:rPr>
            </w:pPr>
            <w:r w:rsidRPr="0064652A">
              <w:rPr>
                <w:color w:val="000000"/>
                <w:sz w:val="20"/>
                <w:szCs w:val="20"/>
              </w:rPr>
              <w:t>the Company’s dependence on a third party logistics provider for the storage and distribution of its products in the United States;</w:t>
            </w:r>
          </w:p>
        </w:tc>
      </w:tr>
    </w:tbl>
    <w:p w14:paraId="3B577701"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7ABC98B3" w14:textId="77777777">
        <w:tc>
          <w:tcPr>
            <w:tcW w:w="500" w:type="dxa"/>
            <w:tcMar>
              <w:top w:w="5" w:type="dxa"/>
              <w:left w:w="5" w:type="dxa"/>
              <w:bottom w:w="5" w:type="dxa"/>
              <w:right w:w="5" w:type="dxa"/>
            </w:tcMar>
            <w:vAlign w:val="center"/>
            <w:hideMark/>
          </w:tcPr>
          <w:p w14:paraId="257D42FF"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517FFE1D"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36447155" w14:textId="77777777" w:rsidR="00C820B8" w:rsidRPr="0064652A" w:rsidRDefault="008D7FC6">
            <w:pPr>
              <w:rPr>
                <w:color w:val="000000"/>
                <w:sz w:val="20"/>
                <w:szCs w:val="20"/>
              </w:rPr>
            </w:pPr>
            <w:r w:rsidRPr="0064652A">
              <w:rPr>
                <w:color w:val="000000"/>
                <w:sz w:val="20"/>
                <w:szCs w:val="20"/>
              </w:rPr>
              <w:t>the ability of third party sales representatives to adequately promote, market and sell the Company’s products;</w:t>
            </w:r>
          </w:p>
        </w:tc>
      </w:tr>
    </w:tbl>
    <w:p w14:paraId="303B0E87"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75DE8B4D" w14:textId="77777777">
        <w:tc>
          <w:tcPr>
            <w:tcW w:w="500" w:type="dxa"/>
            <w:tcMar>
              <w:top w:w="5" w:type="dxa"/>
              <w:left w:w="5" w:type="dxa"/>
              <w:bottom w:w="5" w:type="dxa"/>
              <w:right w:w="5" w:type="dxa"/>
            </w:tcMar>
            <w:vAlign w:val="center"/>
            <w:hideMark/>
          </w:tcPr>
          <w:p w14:paraId="64A9227D"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479D0042"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6D1FBE90" w14:textId="77777777" w:rsidR="00C820B8" w:rsidRPr="0064652A" w:rsidRDefault="008D7FC6">
            <w:pPr>
              <w:rPr>
                <w:color w:val="000000"/>
                <w:sz w:val="20"/>
                <w:szCs w:val="20"/>
              </w:rPr>
            </w:pPr>
            <w:r w:rsidRPr="0064652A">
              <w:rPr>
                <w:color w:val="000000"/>
                <w:sz w:val="20"/>
                <w:szCs w:val="20"/>
              </w:rPr>
              <w:t>the Company’s ability to maintain, protect and enhance its intellectual property;</w:t>
            </w:r>
          </w:p>
        </w:tc>
      </w:tr>
    </w:tbl>
    <w:p w14:paraId="759305E0"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081D9D73" w14:textId="77777777">
        <w:tc>
          <w:tcPr>
            <w:tcW w:w="500" w:type="dxa"/>
            <w:tcMar>
              <w:top w:w="5" w:type="dxa"/>
              <w:left w:w="5" w:type="dxa"/>
              <w:bottom w:w="5" w:type="dxa"/>
              <w:right w:w="5" w:type="dxa"/>
            </w:tcMar>
            <w:vAlign w:val="center"/>
            <w:hideMark/>
          </w:tcPr>
          <w:p w14:paraId="24555AC9" w14:textId="77777777" w:rsidR="00C820B8" w:rsidRPr="0064652A" w:rsidRDefault="008D7FC6">
            <w:pPr>
              <w:rPr>
                <w:color w:val="000000"/>
                <w:sz w:val="20"/>
                <w:szCs w:val="20"/>
              </w:rPr>
            </w:pPr>
            <w:r w:rsidRPr="0064652A">
              <w:rPr>
                <w:color w:val="000000"/>
                <w:sz w:val="20"/>
                <w:szCs w:val="20"/>
              </w:rPr>
              <w:lastRenderedPageBreak/>
              <w:t> </w:t>
            </w:r>
          </w:p>
        </w:tc>
        <w:tc>
          <w:tcPr>
            <w:tcW w:w="360" w:type="dxa"/>
            <w:tcMar>
              <w:top w:w="5" w:type="dxa"/>
              <w:left w:w="5" w:type="dxa"/>
              <w:bottom w:w="5" w:type="dxa"/>
              <w:right w:w="5" w:type="dxa"/>
            </w:tcMar>
            <w:hideMark/>
          </w:tcPr>
          <w:p w14:paraId="7988A6F6"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0A7A1253" w14:textId="77777777" w:rsidR="00C820B8" w:rsidRPr="0064652A" w:rsidRDefault="008D7FC6">
            <w:pPr>
              <w:rPr>
                <w:color w:val="000000"/>
                <w:sz w:val="20"/>
                <w:szCs w:val="20"/>
              </w:rPr>
            </w:pPr>
            <w:r w:rsidRPr="0064652A">
              <w:rPr>
                <w:color w:val="000000"/>
                <w:sz w:val="20"/>
                <w:szCs w:val="20"/>
              </w:rPr>
              <w:t>the effects of competition;</w:t>
            </w:r>
          </w:p>
        </w:tc>
      </w:tr>
    </w:tbl>
    <w:p w14:paraId="732DE717"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68C3E527" w14:textId="77777777">
        <w:tc>
          <w:tcPr>
            <w:tcW w:w="500" w:type="dxa"/>
            <w:tcMar>
              <w:top w:w="5" w:type="dxa"/>
              <w:left w:w="5" w:type="dxa"/>
              <w:bottom w:w="5" w:type="dxa"/>
              <w:right w:w="5" w:type="dxa"/>
            </w:tcMar>
            <w:vAlign w:val="center"/>
            <w:hideMark/>
          </w:tcPr>
          <w:p w14:paraId="430764E7"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0DB6BC07"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3657FE4F" w14:textId="77777777" w:rsidR="00C820B8" w:rsidRPr="0064652A" w:rsidRDefault="008D7FC6">
            <w:pPr>
              <w:rPr>
                <w:color w:val="000000"/>
                <w:sz w:val="20"/>
                <w:szCs w:val="20"/>
              </w:rPr>
            </w:pPr>
            <w:r w:rsidRPr="0064652A">
              <w:rPr>
                <w:color w:val="000000"/>
                <w:sz w:val="20"/>
                <w:szCs w:val="20"/>
              </w:rPr>
              <w:t>the Company’s ability to distribute its products in a timely fashion, including the impact of labor disputes, public health threats and social unrest, if any;</w:t>
            </w:r>
          </w:p>
        </w:tc>
      </w:tr>
    </w:tbl>
    <w:p w14:paraId="3E3AFBCF"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42F3E878" w14:textId="77777777">
        <w:tc>
          <w:tcPr>
            <w:tcW w:w="500" w:type="dxa"/>
            <w:tcMar>
              <w:top w:w="5" w:type="dxa"/>
              <w:left w:w="5" w:type="dxa"/>
              <w:bottom w:w="5" w:type="dxa"/>
              <w:right w:w="5" w:type="dxa"/>
            </w:tcMar>
            <w:vAlign w:val="center"/>
            <w:hideMark/>
          </w:tcPr>
          <w:p w14:paraId="77DB0A97"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29322D41"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04FEEDC2" w14:textId="77777777" w:rsidR="00C820B8" w:rsidRPr="0064652A" w:rsidRDefault="008D7FC6">
            <w:pPr>
              <w:rPr>
                <w:color w:val="000000"/>
                <w:sz w:val="20"/>
                <w:szCs w:val="20"/>
              </w:rPr>
            </w:pPr>
            <w:r w:rsidRPr="0064652A">
              <w:rPr>
                <w:color w:val="000000"/>
                <w:sz w:val="20"/>
                <w:szCs w:val="20"/>
              </w:rPr>
              <w:t>evolving cybersecurity threats to the Company’s information technology systems or those of its customers or suppliers;</w:t>
            </w:r>
          </w:p>
        </w:tc>
      </w:tr>
    </w:tbl>
    <w:p w14:paraId="222A17E4" w14:textId="77777777" w:rsidR="00C820B8" w:rsidRPr="0064652A" w:rsidRDefault="008D7FC6">
      <w:pPr>
        <w:rPr>
          <w:sz w:val="20"/>
          <w:szCs w:val="20"/>
        </w:rPr>
      </w:pPr>
      <w:r w:rsidRPr="0064652A">
        <w:rPr>
          <w:sz w:val="20"/>
          <w:szCs w:val="20"/>
        </w:rPr>
        <w:t> </w:t>
      </w:r>
    </w:p>
    <w:p w14:paraId="43E34691" w14:textId="77777777" w:rsidR="00C820B8" w:rsidRPr="0064652A" w:rsidRDefault="008D7FC6">
      <w:pPr>
        <w:jc w:val="center"/>
        <w:rPr>
          <w:sz w:val="20"/>
          <w:szCs w:val="20"/>
        </w:rPr>
      </w:pPr>
      <w:r w:rsidRPr="0064652A">
        <w:rPr>
          <w:sz w:val="20"/>
          <w:szCs w:val="20"/>
        </w:rPr>
        <w:t>14</w:t>
      </w:r>
    </w:p>
    <w:p w14:paraId="0117001F"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6A6C57C3"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5A872579" w14:textId="77777777">
        <w:tc>
          <w:tcPr>
            <w:tcW w:w="500" w:type="dxa"/>
            <w:tcMar>
              <w:top w:w="5" w:type="dxa"/>
              <w:left w:w="5" w:type="dxa"/>
              <w:bottom w:w="5" w:type="dxa"/>
              <w:right w:w="5" w:type="dxa"/>
            </w:tcMar>
            <w:vAlign w:val="center"/>
            <w:hideMark/>
          </w:tcPr>
          <w:p w14:paraId="596FBE03"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2ED96D28"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663D58DE" w14:textId="77777777" w:rsidR="00C820B8" w:rsidRPr="0064652A" w:rsidRDefault="008D7FC6">
            <w:pPr>
              <w:rPr>
                <w:color w:val="000000"/>
                <w:sz w:val="20"/>
                <w:szCs w:val="20"/>
              </w:rPr>
            </w:pPr>
            <w:r w:rsidRPr="0064652A">
              <w:rPr>
                <w:color w:val="000000"/>
                <w:sz w:val="20"/>
                <w:szCs w:val="20"/>
              </w:rPr>
              <w:t>changes in foreign laws and regulations and changes in the political and economic conditions in the foreign countries in which the Company operates;</w:t>
            </w:r>
          </w:p>
        </w:tc>
      </w:tr>
    </w:tbl>
    <w:p w14:paraId="0DB57138"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76C9D803" w14:textId="77777777">
        <w:tc>
          <w:tcPr>
            <w:tcW w:w="500" w:type="dxa"/>
            <w:tcMar>
              <w:top w:w="5" w:type="dxa"/>
              <w:left w:w="5" w:type="dxa"/>
              <w:bottom w:w="5" w:type="dxa"/>
              <w:right w:w="5" w:type="dxa"/>
            </w:tcMar>
            <w:vAlign w:val="center"/>
            <w:hideMark/>
          </w:tcPr>
          <w:p w14:paraId="04C53828"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1D07FC99"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5672378C" w14:textId="77777777" w:rsidR="00C820B8" w:rsidRPr="0064652A" w:rsidRDefault="008D7FC6">
            <w:pPr>
              <w:rPr>
                <w:color w:val="000000"/>
                <w:sz w:val="20"/>
                <w:szCs w:val="20"/>
              </w:rPr>
            </w:pPr>
            <w:r w:rsidRPr="0064652A">
              <w:rPr>
                <w:color w:val="000000"/>
                <w:sz w:val="20"/>
                <w:szCs w:val="20"/>
              </w:rPr>
              <w:t>changes in accounting policies, rules and practices;</w:t>
            </w:r>
          </w:p>
        </w:tc>
      </w:tr>
    </w:tbl>
    <w:p w14:paraId="3870E958"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1106048A" w14:textId="77777777">
        <w:tc>
          <w:tcPr>
            <w:tcW w:w="500" w:type="dxa"/>
            <w:tcMar>
              <w:top w:w="5" w:type="dxa"/>
              <w:left w:w="5" w:type="dxa"/>
              <w:bottom w:w="5" w:type="dxa"/>
              <w:right w:w="5" w:type="dxa"/>
            </w:tcMar>
            <w:vAlign w:val="center"/>
            <w:hideMark/>
          </w:tcPr>
          <w:p w14:paraId="5EB4B15B"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5504C879"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338BB0AF" w14:textId="77777777" w:rsidR="00C820B8" w:rsidRPr="0064652A" w:rsidRDefault="008D7FC6">
            <w:pPr>
              <w:rPr>
                <w:color w:val="000000"/>
                <w:sz w:val="20"/>
                <w:szCs w:val="20"/>
              </w:rPr>
            </w:pPr>
            <w:r w:rsidRPr="0064652A">
              <w:rPr>
                <w:color w:val="000000"/>
                <w:sz w:val="20"/>
                <w:szCs w:val="20"/>
              </w:rPr>
              <w:t>changes in tax rules and regulations or interpretations;</w:t>
            </w:r>
          </w:p>
        </w:tc>
      </w:tr>
    </w:tbl>
    <w:p w14:paraId="2EE8E93E"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0478E1BD" w14:textId="77777777">
        <w:tc>
          <w:tcPr>
            <w:tcW w:w="500" w:type="dxa"/>
            <w:tcMar>
              <w:top w:w="5" w:type="dxa"/>
              <w:left w:w="5" w:type="dxa"/>
              <w:bottom w:w="5" w:type="dxa"/>
              <w:right w:w="5" w:type="dxa"/>
            </w:tcMar>
            <w:vAlign w:val="center"/>
            <w:hideMark/>
          </w:tcPr>
          <w:p w14:paraId="3848B176"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57CCCFB6"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67495CC5" w14:textId="77777777" w:rsidR="00C820B8" w:rsidRPr="0064652A" w:rsidRDefault="008D7FC6">
            <w:pPr>
              <w:rPr>
                <w:color w:val="000000"/>
                <w:sz w:val="20"/>
                <w:szCs w:val="20"/>
              </w:rPr>
            </w:pPr>
            <w:r w:rsidRPr="0064652A">
              <w:rPr>
                <w:color w:val="000000"/>
                <w:sz w:val="20"/>
                <w:szCs w:val="20"/>
              </w:rPr>
              <w:t>changes in U.S. and foreign trade regulations and tariffs, including potential increases of tariffs on goods imported into the U.S., and uncertainty regarding the same;</w:t>
            </w:r>
          </w:p>
        </w:tc>
      </w:tr>
    </w:tbl>
    <w:p w14:paraId="2C78BFEA"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264A8668" w14:textId="77777777">
        <w:tc>
          <w:tcPr>
            <w:tcW w:w="500" w:type="dxa"/>
            <w:tcMar>
              <w:top w:w="5" w:type="dxa"/>
              <w:left w:w="5" w:type="dxa"/>
              <w:bottom w:w="5" w:type="dxa"/>
              <w:right w:w="5" w:type="dxa"/>
            </w:tcMar>
            <w:vAlign w:val="center"/>
            <w:hideMark/>
          </w:tcPr>
          <w:p w14:paraId="2F674CF3"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28FFD10F"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7903EA90" w14:textId="77777777" w:rsidR="00C820B8" w:rsidRPr="0064652A" w:rsidRDefault="008D7FC6">
            <w:pPr>
              <w:rPr>
                <w:color w:val="000000"/>
                <w:sz w:val="20"/>
                <w:szCs w:val="20"/>
              </w:rPr>
            </w:pPr>
            <w:r w:rsidRPr="0064652A">
              <w:rPr>
                <w:color w:val="000000"/>
                <w:sz w:val="20"/>
                <w:szCs w:val="20"/>
              </w:rPr>
              <w:t>limited access to financing or increased cost of financing;</w:t>
            </w:r>
          </w:p>
        </w:tc>
      </w:tr>
    </w:tbl>
    <w:p w14:paraId="1413136F"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1AC80C53" w14:textId="77777777">
        <w:tc>
          <w:tcPr>
            <w:tcW w:w="500" w:type="dxa"/>
            <w:tcMar>
              <w:top w:w="5" w:type="dxa"/>
              <w:left w:w="5" w:type="dxa"/>
              <w:bottom w:w="5" w:type="dxa"/>
              <w:right w:w="5" w:type="dxa"/>
            </w:tcMar>
            <w:vAlign w:val="center"/>
            <w:hideMark/>
          </w:tcPr>
          <w:p w14:paraId="3ADD4006"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54EDF095"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47336C21" w14:textId="77777777" w:rsidR="00C820B8" w:rsidRPr="0064652A" w:rsidRDefault="008D7FC6">
            <w:pPr>
              <w:rPr>
                <w:color w:val="000000"/>
                <w:sz w:val="20"/>
                <w:szCs w:val="20"/>
              </w:rPr>
            </w:pPr>
            <w:r w:rsidRPr="0064652A">
              <w:rPr>
                <w:color w:val="000000"/>
                <w:sz w:val="20"/>
                <w:szCs w:val="20"/>
              </w:rPr>
              <w:t>the effects of currency fluctuations between the U.S. dollar and Chinese renminbi and increases in costs of production in China; and</w:t>
            </w:r>
          </w:p>
        </w:tc>
      </w:tr>
    </w:tbl>
    <w:p w14:paraId="078D99EF"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500"/>
        <w:gridCol w:w="360"/>
        <w:gridCol w:w="9940"/>
      </w:tblGrid>
      <w:tr w:rsidR="00C820B8" w:rsidRPr="0064652A" w14:paraId="2C5A92A9" w14:textId="77777777">
        <w:tc>
          <w:tcPr>
            <w:tcW w:w="500" w:type="dxa"/>
            <w:tcMar>
              <w:top w:w="5" w:type="dxa"/>
              <w:left w:w="5" w:type="dxa"/>
              <w:bottom w:w="5" w:type="dxa"/>
              <w:right w:w="5" w:type="dxa"/>
            </w:tcMar>
            <w:vAlign w:val="center"/>
            <w:hideMark/>
          </w:tcPr>
          <w:p w14:paraId="5E5707C4" w14:textId="77777777" w:rsidR="00C820B8" w:rsidRPr="0064652A" w:rsidRDefault="008D7FC6">
            <w:pPr>
              <w:rPr>
                <w:color w:val="000000"/>
                <w:sz w:val="20"/>
                <w:szCs w:val="20"/>
              </w:rPr>
            </w:pPr>
            <w:r w:rsidRPr="0064652A">
              <w:rPr>
                <w:color w:val="000000"/>
                <w:sz w:val="20"/>
                <w:szCs w:val="20"/>
              </w:rPr>
              <w:t> </w:t>
            </w:r>
          </w:p>
        </w:tc>
        <w:tc>
          <w:tcPr>
            <w:tcW w:w="360" w:type="dxa"/>
            <w:tcMar>
              <w:top w:w="5" w:type="dxa"/>
              <w:left w:w="5" w:type="dxa"/>
              <w:bottom w:w="5" w:type="dxa"/>
              <w:right w:w="5" w:type="dxa"/>
            </w:tcMar>
            <w:hideMark/>
          </w:tcPr>
          <w:p w14:paraId="4BD1CEE8"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4AFB78EA" w14:textId="77777777" w:rsidR="00C820B8" w:rsidRPr="0064652A" w:rsidRDefault="008D7FC6">
            <w:pPr>
              <w:rPr>
                <w:color w:val="000000"/>
                <w:sz w:val="20"/>
                <w:szCs w:val="20"/>
              </w:rPr>
            </w:pPr>
            <w:r w:rsidRPr="0064652A">
              <w:rPr>
                <w:color w:val="000000"/>
                <w:sz w:val="20"/>
                <w:szCs w:val="20"/>
              </w:rPr>
              <w:t>the other factors listed under “Risk Factors” in the Company’s Annual Report on Form 10-K, as amended, for the fiscal year ended March 31, 2023 and other filings with the SEC.</w:t>
            </w:r>
          </w:p>
        </w:tc>
      </w:tr>
    </w:tbl>
    <w:p w14:paraId="29B91538" w14:textId="77777777" w:rsidR="00C820B8" w:rsidRPr="0064652A" w:rsidRDefault="008D7FC6">
      <w:pPr>
        <w:rPr>
          <w:sz w:val="20"/>
          <w:szCs w:val="20"/>
        </w:rPr>
      </w:pPr>
      <w:r w:rsidRPr="0064652A">
        <w:rPr>
          <w:sz w:val="20"/>
          <w:szCs w:val="20"/>
        </w:rPr>
        <w:t> </w:t>
      </w:r>
    </w:p>
    <w:p w14:paraId="3C6FC52F" w14:textId="77777777" w:rsidR="00C820B8" w:rsidRPr="0064652A" w:rsidRDefault="008D7FC6">
      <w:pPr>
        <w:ind w:firstLine="500"/>
        <w:rPr>
          <w:sz w:val="20"/>
          <w:szCs w:val="20"/>
        </w:rPr>
      </w:pPr>
      <w:r w:rsidRPr="0064652A">
        <w:rPr>
          <w:sz w:val="20"/>
          <w:szCs w:val="20"/>
        </w:rPr>
        <w:t>All forward-looking statements are expressly qualified in their entirety by this cautionary notice. The reader is cautioned not to place undue reliance on any forward-looking statements, which speak only as of the date of this report or the date of the document incorporated by reference into this report. The Company has no obligation, and expressly disclaims any obligation, to update, revise or correct any of the forward-looking statements, whether as a result of new information, future events or otherwise. The Company has expressed its expectations, beliefs and projections in good faith and it believes it has a reasonable basis for them. However, the Company cannot assure the reader that its expectations, beliefs or projections will result or be achieved or accomplished.</w:t>
      </w:r>
    </w:p>
    <w:p w14:paraId="26EC6CA0" w14:textId="77777777" w:rsidR="00C820B8" w:rsidRPr="0064652A" w:rsidRDefault="008D7FC6">
      <w:pPr>
        <w:rPr>
          <w:sz w:val="20"/>
          <w:szCs w:val="20"/>
        </w:rPr>
      </w:pPr>
      <w:r w:rsidRPr="0064652A">
        <w:rPr>
          <w:sz w:val="20"/>
          <w:szCs w:val="20"/>
        </w:rPr>
        <w:t> </w:t>
      </w:r>
    </w:p>
    <w:p w14:paraId="570FF3B7" w14:textId="77777777" w:rsidR="00C820B8" w:rsidRPr="0064652A" w:rsidRDefault="008D7FC6">
      <w:pPr>
        <w:rPr>
          <w:sz w:val="20"/>
          <w:szCs w:val="20"/>
        </w:rPr>
      </w:pPr>
      <w:r w:rsidRPr="0064652A">
        <w:rPr>
          <w:b/>
          <w:bCs/>
          <w:sz w:val="20"/>
          <w:szCs w:val="20"/>
        </w:rPr>
        <w:t>Results of Operations</w:t>
      </w:r>
    </w:p>
    <w:p w14:paraId="1A059929" w14:textId="77777777" w:rsidR="00C820B8" w:rsidRPr="0064652A" w:rsidRDefault="008D7FC6">
      <w:pPr>
        <w:rPr>
          <w:sz w:val="20"/>
          <w:szCs w:val="20"/>
        </w:rPr>
      </w:pPr>
      <w:r w:rsidRPr="0064652A">
        <w:rPr>
          <w:sz w:val="20"/>
          <w:szCs w:val="20"/>
        </w:rPr>
        <w:t> </w:t>
      </w:r>
    </w:p>
    <w:p w14:paraId="63D18007" w14:textId="77777777" w:rsidR="00C820B8" w:rsidRPr="0064652A" w:rsidRDefault="008D7FC6">
      <w:pPr>
        <w:ind w:firstLine="500"/>
        <w:rPr>
          <w:sz w:val="20"/>
          <w:szCs w:val="20"/>
        </w:rPr>
      </w:pPr>
      <w:r w:rsidRPr="0064652A">
        <w:rPr>
          <w:sz w:val="20"/>
          <w:szCs w:val="20"/>
        </w:rPr>
        <w:t xml:space="preserve">The following table summarizes certain financial information for the </w:t>
      </w:r>
      <w:bookmarkStart w:id="22" w:name="led288631F2022881662679823739"/>
      <w:r w:rsidRPr="0064652A">
        <w:rPr>
          <w:sz w:val="20"/>
          <w:szCs w:val="20"/>
        </w:rPr>
        <w:t>three and nine month periods ended December 31, 2023</w:t>
      </w:r>
      <w:bookmarkEnd w:id="22"/>
      <w:r w:rsidRPr="0064652A">
        <w:rPr>
          <w:sz w:val="20"/>
          <w:szCs w:val="20"/>
        </w:rPr>
        <w:t xml:space="preserve"> (fiscal 2024) and </w:t>
      </w:r>
      <w:bookmarkStart w:id="23" w:name="led288631F2022881662679833097"/>
      <w:r w:rsidRPr="0064652A">
        <w:rPr>
          <w:sz w:val="20"/>
          <w:szCs w:val="20"/>
        </w:rPr>
        <w:t>December 31, 2022</w:t>
      </w:r>
      <w:bookmarkEnd w:id="23"/>
      <w:r w:rsidRPr="0064652A">
        <w:rPr>
          <w:sz w:val="20"/>
          <w:szCs w:val="20"/>
        </w:rPr>
        <w:t xml:space="preserve"> (fiscal 2023) (in thousands):</w:t>
      </w:r>
    </w:p>
    <w:p w14:paraId="772966FA" w14:textId="77777777" w:rsidR="00C820B8" w:rsidRPr="0064652A" w:rsidRDefault="008D7FC6">
      <w:pPr>
        <w:ind w:firstLine="500"/>
        <w:rPr>
          <w:sz w:val="20"/>
          <w:szCs w:val="20"/>
        </w:rPr>
      </w:pPr>
      <w:r w:rsidRPr="0064652A">
        <w:rPr>
          <w:sz w:val="20"/>
          <w:szCs w:val="20"/>
        </w:rPr>
        <w:t> </w:t>
      </w:r>
    </w:p>
    <w:tbl>
      <w:tblPr>
        <w:tblStyle w:val="finTable"/>
        <w:tblW w:w="4750" w:type="pct"/>
        <w:tblInd w:w="5" w:type="dxa"/>
        <w:tblCellMar>
          <w:left w:w="0" w:type="dxa"/>
          <w:right w:w="0" w:type="dxa"/>
        </w:tblCellMar>
        <w:tblLook w:val="05E0" w:firstRow="1" w:lastRow="1" w:firstColumn="1" w:lastColumn="1" w:noHBand="0" w:noVBand="1"/>
      </w:tblPr>
      <w:tblGrid>
        <w:gridCol w:w="4922"/>
        <w:gridCol w:w="100"/>
        <w:gridCol w:w="110"/>
        <w:gridCol w:w="1023"/>
        <w:gridCol w:w="100"/>
        <w:gridCol w:w="100"/>
        <w:gridCol w:w="110"/>
        <w:gridCol w:w="1023"/>
        <w:gridCol w:w="100"/>
        <w:gridCol w:w="101"/>
        <w:gridCol w:w="110"/>
        <w:gridCol w:w="1024"/>
        <w:gridCol w:w="101"/>
        <w:gridCol w:w="101"/>
        <w:gridCol w:w="110"/>
        <w:gridCol w:w="1024"/>
        <w:gridCol w:w="101"/>
      </w:tblGrid>
      <w:tr w:rsidR="00C820B8" w:rsidRPr="0064652A" w14:paraId="7C9986BF" w14:textId="77777777">
        <w:tc>
          <w:tcPr>
            <w:tcW w:w="0" w:type="auto"/>
            <w:tcMar>
              <w:top w:w="5" w:type="dxa"/>
              <w:left w:w="5" w:type="dxa"/>
              <w:bottom w:w="5" w:type="dxa"/>
              <w:right w:w="5" w:type="dxa"/>
            </w:tcMar>
            <w:vAlign w:val="bottom"/>
            <w:hideMark/>
          </w:tcPr>
          <w:p w14:paraId="0A608E3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353D9918" w14:textId="77777777" w:rsidR="00C820B8" w:rsidRPr="0064652A" w:rsidRDefault="008D7FC6">
            <w:pPr>
              <w:rPr>
                <w:color w:val="000000"/>
                <w:sz w:val="20"/>
                <w:szCs w:val="20"/>
              </w:rPr>
            </w:pPr>
            <w:r w:rsidRPr="0064652A">
              <w:rPr>
                <w:color w:val="000000"/>
                <w:sz w:val="20"/>
                <w:szCs w:val="20"/>
              </w:rPr>
              <w:t> </w:t>
            </w:r>
          </w:p>
        </w:tc>
        <w:tc>
          <w:tcPr>
            <w:tcW w:w="0" w:type="auto"/>
            <w:gridSpan w:val="6"/>
            <w:tcMar>
              <w:top w:w="5" w:type="dxa"/>
              <w:left w:w="5" w:type="dxa"/>
              <w:bottom w:w="5" w:type="dxa"/>
              <w:right w:w="5" w:type="dxa"/>
            </w:tcMar>
            <w:vAlign w:val="bottom"/>
            <w:hideMark/>
          </w:tcPr>
          <w:p w14:paraId="17270CE1" w14:textId="77777777" w:rsidR="00C820B8" w:rsidRPr="0064652A" w:rsidRDefault="008D7FC6">
            <w:pPr>
              <w:jc w:val="center"/>
              <w:rPr>
                <w:color w:val="000000"/>
                <w:sz w:val="20"/>
                <w:szCs w:val="20"/>
              </w:rPr>
            </w:pPr>
            <w:r w:rsidRPr="0064652A">
              <w:rPr>
                <w:b/>
                <w:bCs/>
                <w:color w:val="000000"/>
                <w:sz w:val="20"/>
                <w:szCs w:val="20"/>
              </w:rPr>
              <w:t>Three Months Ended December 31,</w:t>
            </w:r>
          </w:p>
        </w:tc>
        <w:tc>
          <w:tcPr>
            <w:tcW w:w="0" w:type="auto"/>
            <w:tcMar>
              <w:top w:w="5" w:type="dxa"/>
              <w:left w:w="5" w:type="dxa"/>
              <w:bottom w:w="5" w:type="dxa"/>
              <w:right w:w="5" w:type="dxa"/>
            </w:tcMar>
            <w:vAlign w:val="bottom"/>
            <w:hideMark/>
          </w:tcPr>
          <w:p w14:paraId="5025E17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58466D63" w14:textId="77777777" w:rsidR="00C820B8" w:rsidRPr="0064652A" w:rsidRDefault="008D7FC6">
            <w:pPr>
              <w:rPr>
                <w:color w:val="000000"/>
                <w:sz w:val="20"/>
                <w:szCs w:val="20"/>
              </w:rPr>
            </w:pPr>
            <w:r w:rsidRPr="0064652A">
              <w:rPr>
                <w:color w:val="000000"/>
                <w:sz w:val="20"/>
                <w:szCs w:val="20"/>
              </w:rPr>
              <w:t> </w:t>
            </w:r>
          </w:p>
        </w:tc>
        <w:tc>
          <w:tcPr>
            <w:tcW w:w="0" w:type="auto"/>
            <w:gridSpan w:val="6"/>
            <w:tcMar>
              <w:top w:w="5" w:type="dxa"/>
              <w:left w:w="5" w:type="dxa"/>
              <w:bottom w:w="5" w:type="dxa"/>
              <w:right w:w="5" w:type="dxa"/>
            </w:tcMar>
            <w:vAlign w:val="bottom"/>
            <w:hideMark/>
          </w:tcPr>
          <w:p w14:paraId="20DF57CB" w14:textId="77777777" w:rsidR="00C820B8" w:rsidRPr="0064652A" w:rsidRDefault="008D7FC6">
            <w:pPr>
              <w:jc w:val="center"/>
              <w:rPr>
                <w:color w:val="000000"/>
                <w:sz w:val="20"/>
                <w:szCs w:val="20"/>
              </w:rPr>
            </w:pPr>
            <w:r w:rsidRPr="0064652A">
              <w:rPr>
                <w:b/>
                <w:bCs/>
                <w:color w:val="000000"/>
                <w:sz w:val="20"/>
                <w:szCs w:val="20"/>
              </w:rPr>
              <w:t>Nine Months Ended December 31,</w:t>
            </w:r>
          </w:p>
        </w:tc>
        <w:tc>
          <w:tcPr>
            <w:tcW w:w="0" w:type="auto"/>
            <w:tcMar>
              <w:top w:w="5" w:type="dxa"/>
              <w:left w:w="5" w:type="dxa"/>
              <w:bottom w:w="5" w:type="dxa"/>
              <w:right w:w="5" w:type="dxa"/>
            </w:tcMar>
            <w:vAlign w:val="bottom"/>
            <w:hideMark/>
          </w:tcPr>
          <w:p w14:paraId="3337BEA5" w14:textId="77777777" w:rsidR="00C820B8" w:rsidRPr="0064652A" w:rsidRDefault="008D7FC6">
            <w:pPr>
              <w:rPr>
                <w:color w:val="000000"/>
                <w:sz w:val="20"/>
                <w:szCs w:val="20"/>
              </w:rPr>
            </w:pPr>
            <w:r w:rsidRPr="0064652A">
              <w:rPr>
                <w:color w:val="000000"/>
                <w:sz w:val="20"/>
                <w:szCs w:val="20"/>
              </w:rPr>
              <w:t> </w:t>
            </w:r>
          </w:p>
        </w:tc>
      </w:tr>
      <w:tr w:rsidR="00C820B8" w:rsidRPr="0064652A" w14:paraId="5AE091BD" w14:textId="77777777">
        <w:tc>
          <w:tcPr>
            <w:tcW w:w="0" w:type="auto"/>
            <w:tcMar>
              <w:top w:w="5" w:type="dxa"/>
              <w:left w:w="5" w:type="dxa"/>
              <w:bottom w:w="5" w:type="dxa"/>
              <w:right w:w="5" w:type="dxa"/>
            </w:tcMar>
            <w:vAlign w:val="bottom"/>
            <w:hideMark/>
          </w:tcPr>
          <w:p w14:paraId="28D3402E"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4B51E2AD"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F71E902" w14:textId="77777777" w:rsidR="00C820B8" w:rsidRPr="0064652A" w:rsidRDefault="008D7FC6">
            <w:pPr>
              <w:jc w:val="center"/>
              <w:rPr>
                <w:color w:val="000000"/>
                <w:sz w:val="20"/>
                <w:szCs w:val="20"/>
              </w:rPr>
            </w:pPr>
            <w:r w:rsidRPr="0064652A">
              <w:rPr>
                <w:b/>
                <w:bCs/>
                <w:color w:val="000000"/>
                <w:sz w:val="20"/>
                <w:szCs w:val="20"/>
              </w:rPr>
              <w:t>2023</w:t>
            </w:r>
          </w:p>
        </w:tc>
        <w:tc>
          <w:tcPr>
            <w:tcW w:w="0" w:type="auto"/>
            <w:tcMar>
              <w:top w:w="5" w:type="dxa"/>
              <w:left w:w="5" w:type="dxa"/>
              <w:bottom w:w="20" w:type="dxa"/>
              <w:right w:w="5" w:type="dxa"/>
            </w:tcMar>
            <w:vAlign w:val="bottom"/>
            <w:hideMark/>
          </w:tcPr>
          <w:p w14:paraId="7004A340"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7CF7D0EC"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A16E58B" w14:textId="77777777" w:rsidR="00C820B8" w:rsidRPr="0064652A" w:rsidRDefault="008D7FC6">
            <w:pPr>
              <w:jc w:val="center"/>
              <w:rPr>
                <w:color w:val="000000"/>
                <w:sz w:val="20"/>
                <w:szCs w:val="20"/>
              </w:rPr>
            </w:pPr>
            <w:r w:rsidRPr="0064652A">
              <w:rPr>
                <w:b/>
                <w:bCs/>
                <w:color w:val="000000"/>
                <w:sz w:val="20"/>
                <w:szCs w:val="20"/>
              </w:rPr>
              <w:t>2022</w:t>
            </w:r>
          </w:p>
        </w:tc>
        <w:tc>
          <w:tcPr>
            <w:tcW w:w="0" w:type="auto"/>
            <w:tcMar>
              <w:top w:w="5" w:type="dxa"/>
              <w:left w:w="5" w:type="dxa"/>
              <w:bottom w:w="20" w:type="dxa"/>
              <w:right w:w="5" w:type="dxa"/>
            </w:tcMar>
            <w:vAlign w:val="bottom"/>
            <w:hideMark/>
          </w:tcPr>
          <w:p w14:paraId="6B70F06B"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66C41A6D"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C36B49F" w14:textId="77777777" w:rsidR="00C820B8" w:rsidRPr="0064652A" w:rsidRDefault="008D7FC6">
            <w:pPr>
              <w:jc w:val="center"/>
              <w:rPr>
                <w:color w:val="000000"/>
                <w:sz w:val="20"/>
                <w:szCs w:val="20"/>
              </w:rPr>
            </w:pPr>
            <w:r w:rsidRPr="0064652A">
              <w:rPr>
                <w:b/>
                <w:bCs/>
                <w:color w:val="000000"/>
                <w:sz w:val="20"/>
                <w:szCs w:val="20"/>
              </w:rPr>
              <w:t>2023</w:t>
            </w:r>
          </w:p>
        </w:tc>
        <w:tc>
          <w:tcPr>
            <w:tcW w:w="0" w:type="auto"/>
            <w:tcMar>
              <w:top w:w="5" w:type="dxa"/>
              <w:left w:w="5" w:type="dxa"/>
              <w:bottom w:w="20" w:type="dxa"/>
              <w:right w:w="5" w:type="dxa"/>
            </w:tcMar>
            <w:vAlign w:val="bottom"/>
            <w:hideMark/>
          </w:tcPr>
          <w:p w14:paraId="29BBF641" w14:textId="77777777" w:rsidR="00C820B8" w:rsidRPr="0064652A" w:rsidRDefault="008D7FC6">
            <w:pPr>
              <w:rPr>
                <w:color w:val="000000"/>
                <w:sz w:val="20"/>
                <w:szCs w:val="20"/>
              </w:rPr>
            </w:pPr>
            <w:r w:rsidRPr="0064652A">
              <w:rPr>
                <w:color w:val="000000"/>
                <w:sz w:val="20"/>
                <w:szCs w:val="20"/>
              </w:rPr>
              <w:t> </w:t>
            </w:r>
          </w:p>
        </w:tc>
        <w:tc>
          <w:tcPr>
            <w:tcW w:w="0" w:type="auto"/>
            <w:tcMar>
              <w:top w:w="5" w:type="dxa"/>
              <w:left w:w="5" w:type="dxa"/>
              <w:bottom w:w="5" w:type="dxa"/>
              <w:right w:w="5" w:type="dxa"/>
            </w:tcMar>
            <w:vAlign w:val="bottom"/>
            <w:hideMark/>
          </w:tcPr>
          <w:p w14:paraId="2AE2E1D3" w14:textId="77777777" w:rsidR="00C820B8" w:rsidRPr="0064652A" w:rsidRDefault="008D7FC6">
            <w:pPr>
              <w:rPr>
                <w:color w:val="000000"/>
                <w:sz w:val="20"/>
                <w:szCs w:val="20"/>
              </w:rPr>
            </w:pPr>
            <w:r w:rsidRPr="0064652A">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CFE16B2" w14:textId="77777777" w:rsidR="00C820B8" w:rsidRPr="0064652A" w:rsidRDefault="008D7FC6">
            <w:pPr>
              <w:jc w:val="center"/>
              <w:rPr>
                <w:color w:val="000000"/>
                <w:sz w:val="20"/>
                <w:szCs w:val="20"/>
              </w:rPr>
            </w:pPr>
            <w:r w:rsidRPr="0064652A">
              <w:rPr>
                <w:b/>
                <w:bCs/>
                <w:color w:val="000000"/>
                <w:sz w:val="20"/>
                <w:szCs w:val="20"/>
              </w:rPr>
              <w:t>2022</w:t>
            </w:r>
          </w:p>
        </w:tc>
        <w:tc>
          <w:tcPr>
            <w:tcW w:w="0" w:type="auto"/>
            <w:tcMar>
              <w:top w:w="5" w:type="dxa"/>
              <w:left w:w="5" w:type="dxa"/>
              <w:bottom w:w="20" w:type="dxa"/>
              <w:right w:w="5" w:type="dxa"/>
            </w:tcMar>
            <w:vAlign w:val="bottom"/>
            <w:hideMark/>
          </w:tcPr>
          <w:p w14:paraId="1AB9899A" w14:textId="77777777" w:rsidR="00C820B8" w:rsidRPr="0064652A" w:rsidRDefault="008D7FC6">
            <w:pPr>
              <w:rPr>
                <w:color w:val="000000"/>
                <w:sz w:val="20"/>
                <w:szCs w:val="20"/>
              </w:rPr>
            </w:pPr>
            <w:r w:rsidRPr="0064652A">
              <w:rPr>
                <w:color w:val="000000"/>
                <w:sz w:val="20"/>
                <w:szCs w:val="20"/>
              </w:rPr>
              <w:t> </w:t>
            </w:r>
          </w:p>
        </w:tc>
      </w:tr>
      <w:tr w:rsidR="00C820B8" w:rsidRPr="0064652A" w14:paraId="15319FD0" w14:textId="77777777">
        <w:tc>
          <w:tcPr>
            <w:tcW w:w="2400" w:type="pct"/>
            <w:tcMar>
              <w:top w:w="5" w:type="dxa"/>
              <w:left w:w="5" w:type="dxa"/>
              <w:bottom w:w="5" w:type="dxa"/>
              <w:right w:w="5" w:type="dxa"/>
            </w:tcMar>
            <w:vAlign w:val="bottom"/>
            <w:hideMark/>
          </w:tcPr>
          <w:p w14:paraId="7443F3B9" w14:textId="77777777" w:rsidR="00C820B8" w:rsidRPr="0064652A" w:rsidRDefault="008D7FC6">
            <w:pPr>
              <w:rPr>
                <w:color w:val="000000"/>
                <w:sz w:val="20"/>
                <w:szCs w:val="20"/>
              </w:rPr>
            </w:pPr>
            <w:r w:rsidRPr="0064652A">
              <w:rPr>
                <w:color w:val="000000"/>
                <w:sz w:val="20"/>
                <w:szCs w:val="20"/>
              </w:rPr>
              <w:t>Net product sales</w:t>
            </w:r>
          </w:p>
        </w:tc>
        <w:tc>
          <w:tcPr>
            <w:tcW w:w="50" w:type="pct"/>
            <w:tcMar>
              <w:top w:w="5" w:type="dxa"/>
              <w:left w:w="5" w:type="dxa"/>
              <w:bottom w:w="5" w:type="dxa"/>
              <w:right w:w="5" w:type="dxa"/>
            </w:tcMar>
            <w:vAlign w:val="bottom"/>
            <w:hideMark/>
          </w:tcPr>
          <w:p w14:paraId="6DE9E7E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172981B" w14:textId="77777777" w:rsidR="00C820B8" w:rsidRPr="0064652A" w:rsidRDefault="008D7FC6">
            <w:pPr>
              <w:rPr>
                <w:color w:val="000000"/>
                <w:sz w:val="20"/>
                <w:szCs w:val="20"/>
              </w:rPr>
            </w:pPr>
            <w:r w:rsidRPr="0064652A">
              <w:rPr>
                <w:color w:val="000000"/>
                <w:sz w:val="20"/>
                <w:szCs w:val="20"/>
              </w:rPr>
              <w:t>$</w:t>
            </w:r>
          </w:p>
        </w:tc>
        <w:tc>
          <w:tcPr>
            <w:tcW w:w="500" w:type="pct"/>
            <w:tcMar>
              <w:top w:w="5" w:type="dxa"/>
              <w:left w:w="5" w:type="dxa"/>
              <w:bottom w:w="5" w:type="dxa"/>
              <w:right w:w="5" w:type="dxa"/>
            </w:tcMar>
            <w:vAlign w:val="bottom"/>
            <w:hideMark/>
          </w:tcPr>
          <w:p w14:paraId="64422224" w14:textId="77777777" w:rsidR="00C820B8" w:rsidRPr="0064652A" w:rsidRDefault="008D7FC6">
            <w:pPr>
              <w:jc w:val="right"/>
              <w:rPr>
                <w:color w:val="000000"/>
                <w:sz w:val="20"/>
                <w:szCs w:val="20"/>
              </w:rPr>
            </w:pPr>
            <w:r w:rsidRPr="0064652A">
              <w:rPr>
                <w:color w:val="000000"/>
                <w:sz w:val="20"/>
                <w:szCs w:val="20"/>
              </w:rPr>
              <w:t>2,599</w:t>
            </w:r>
          </w:p>
        </w:tc>
        <w:tc>
          <w:tcPr>
            <w:tcW w:w="50" w:type="pct"/>
            <w:noWrap/>
            <w:tcMar>
              <w:top w:w="5" w:type="dxa"/>
              <w:left w:w="5" w:type="dxa"/>
              <w:bottom w:w="5" w:type="dxa"/>
              <w:right w:w="5" w:type="dxa"/>
            </w:tcMar>
            <w:vAlign w:val="bottom"/>
            <w:hideMark/>
          </w:tcPr>
          <w:p w14:paraId="5824B33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2FC33A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0564C01" w14:textId="77777777" w:rsidR="00C820B8" w:rsidRPr="0064652A" w:rsidRDefault="008D7FC6">
            <w:pPr>
              <w:rPr>
                <w:color w:val="000000"/>
                <w:sz w:val="20"/>
                <w:szCs w:val="20"/>
              </w:rPr>
            </w:pPr>
            <w:r w:rsidRPr="0064652A">
              <w:rPr>
                <w:color w:val="000000"/>
                <w:sz w:val="20"/>
                <w:szCs w:val="20"/>
              </w:rPr>
              <w:t>$</w:t>
            </w:r>
          </w:p>
        </w:tc>
        <w:tc>
          <w:tcPr>
            <w:tcW w:w="500" w:type="pct"/>
            <w:tcMar>
              <w:top w:w="5" w:type="dxa"/>
              <w:left w:w="5" w:type="dxa"/>
              <w:bottom w:w="5" w:type="dxa"/>
              <w:right w:w="5" w:type="dxa"/>
            </w:tcMar>
            <w:vAlign w:val="bottom"/>
            <w:hideMark/>
          </w:tcPr>
          <w:p w14:paraId="39AEC75D" w14:textId="77777777" w:rsidR="00C820B8" w:rsidRPr="0064652A" w:rsidRDefault="008D7FC6">
            <w:pPr>
              <w:jc w:val="right"/>
              <w:rPr>
                <w:color w:val="000000"/>
                <w:sz w:val="20"/>
                <w:szCs w:val="20"/>
              </w:rPr>
            </w:pPr>
            <w:r w:rsidRPr="0064652A">
              <w:rPr>
                <w:color w:val="000000"/>
                <w:sz w:val="20"/>
                <w:szCs w:val="20"/>
              </w:rPr>
              <w:t>1,704</w:t>
            </w:r>
          </w:p>
        </w:tc>
        <w:tc>
          <w:tcPr>
            <w:tcW w:w="50" w:type="pct"/>
            <w:noWrap/>
            <w:tcMar>
              <w:top w:w="5" w:type="dxa"/>
              <w:left w:w="5" w:type="dxa"/>
              <w:bottom w:w="5" w:type="dxa"/>
              <w:right w:w="5" w:type="dxa"/>
            </w:tcMar>
            <w:vAlign w:val="bottom"/>
            <w:hideMark/>
          </w:tcPr>
          <w:p w14:paraId="0122FE2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67CB69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975C74D" w14:textId="77777777" w:rsidR="00C820B8" w:rsidRPr="0064652A" w:rsidRDefault="008D7FC6">
            <w:pPr>
              <w:rPr>
                <w:color w:val="000000"/>
                <w:sz w:val="20"/>
                <w:szCs w:val="20"/>
              </w:rPr>
            </w:pPr>
            <w:r w:rsidRPr="0064652A">
              <w:rPr>
                <w:color w:val="000000"/>
                <w:sz w:val="20"/>
                <w:szCs w:val="20"/>
              </w:rPr>
              <w:t>$</w:t>
            </w:r>
          </w:p>
        </w:tc>
        <w:tc>
          <w:tcPr>
            <w:tcW w:w="500" w:type="pct"/>
            <w:tcMar>
              <w:top w:w="5" w:type="dxa"/>
              <w:left w:w="5" w:type="dxa"/>
              <w:bottom w:w="5" w:type="dxa"/>
              <w:right w:w="5" w:type="dxa"/>
            </w:tcMar>
            <w:vAlign w:val="bottom"/>
            <w:hideMark/>
          </w:tcPr>
          <w:p w14:paraId="666BB15B" w14:textId="77777777" w:rsidR="00C820B8" w:rsidRPr="0064652A" w:rsidRDefault="008D7FC6">
            <w:pPr>
              <w:jc w:val="right"/>
              <w:rPr>
                <w:color w:val="000000"/>
                <w:sz w:val="20"/>
                <w:szCs w:val="20"/>
              </w:rPr>
            </w:pPr>
            <w:r w:rsidRPr="0064652A">
              <w:rPr>
                <w:color w:val="000000"/>
                <w:sz w:val="20"/>
                <w:szCs w:val="20"/>
              </w:rPr>
              <w:t>6,745</w:t>
            </w:r>
          </w:p>
        </w:tc>
        <w:tc>
          <w:tcPr>
            <w:tcW w:w="50" w:type="pct"/>
            <w:noWrap/>
            <w:tcMar>
              <w:top w:w="5" w:type="dxa"/>
              <w:left w:w="5" w:type="dxa"/>
              <w:bottom w:w="5" w:type="dxa"/>
              <w:right w:w="5" w:type="dxa"/>
            </w:tcMar>
            <w:vAlign w:val="bottom"/>
            <w:hideMark/>
          </w:tcPr>
          <w:p w14:paraId="4C7FEED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2FA6E7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C6CCC8F" w14:textId="77777777" w:rsidR="00C820B8" w:rsidRPr="0064652A" w:rsidRDefault="008D7FC6">
            <w:pPr>
              <w:rPr>
                <w:color w:val="000000"/>
                <w:sz w:val="20"/>
                <w:szCs w:val="20"/>
              </w:rPr>
            </w:pPr>
            <w:r w:rsidRPr="0064652A">
              <w:rPr>
                <w:color w:val="000000"/>
                <w:sz w:val="20"/>
                <w:szCs w:val="20"/>
              </w:rPr>
              <w:t>$</w:t>
            </w:r>
          </w:p>
        </w:tc>
        <w:tc>
          <w:tcPr>
            <w:tcW w:w="500" w:type="pct"/>
            <w:tcMar>
              <w:top w:w="5" w:type="dxa"/>
              <w:left w:w="5" w:type="dxa"/>
              <w:bottom w:w="5" w:type="dxa"/>
              <w:right w:w="5" w:type="dxa"/>
            </w:tcMar>
            <w:vAlign w:val="bottom"/>
            <w:hideMark/>
          </w:tcPr>
          <w:p w14:paraId="34F0510F" w14:textId="77777777" w:rsidR="00C820B8" w:rsidRPr="0064652A" w:rsidRDefault="008D7FC6">
            <w:pPr>
              <w:jc w:val="right"/>
              <w:rPr>
                <w:color w:val="000000"/>
                <w:sz w:val="20"/>
                <w:szCs w:val="20"/>
              </w:rPr>
            </w:pPr>
            <w:r w:rsidRPr="0064652A">
              <w:rPr>
                <w:color w:val="000000"/>
                <w:sz w:val="20"/>
                <w:szCs w:val="20"/>
              </w:rPr>
              <w:t>4,335</w:t>
            </w:r>
          </w:p>
        </w:tc>
        <w:tc>
          <w:tcPr>
            <w:tcW w:w="50" w:type="pct"/>
            <w:noWrap/>
            <w:tcMar>
              <w:top w:w="5" w:type="dxa"/>
              <w:left w:w="5" w:type="dxa"/>
              <w:bottom w:w="5" w:type="dxa"/>
              <w:right w:w="5" w:type="dxa"/>
            </w:tcMar>
            <w:vAlign w:val="bottom"/>
            <w:hideMark/>
          </w:tcPr>
          <w:p w14:paraId="02626E64" w14:textId="77777777" w:rsidR="00C820B8" w:rsidRPr="0064652A" w:rsidRDefault="008D7FC6">
            <w:pPr>
              <w:rPr>
                <w:color w:val="000000"/>
                <w:sz w:val="20"/>
                <w:szCs w:val="20"/>
              </w:rPr>
            </w:pPr>
            <w:r w:rsidRPr="0064652A">
              <w:rPr>
                <w:color w:val="000000"/>
                <w:sz w:val="20"/>
                <w:szCs w:val="20"/>
              </w:rPr>
              <w:t> </w:t>
            </w:r>
          </w:p>
        </w:tc>
      </w:tr>
      <w:tr w:rsidR="00C820B8" w:rsidRPr="0064652A" w14:paraId="4FF89F37" w14:textId="77777777">
        <w:tc>
          <w:tcPr>
            <w:tcW w:w="0" w:type="auto"/>
            <w:tcMar>
              <w:top w:w="5" w:type="dxa"/>
              <w:left w:w="5" w:type="dxa"/>
              <w:bottom w:w="5" w:type="dxa"/>
              <w:right w:w="5" w:type="dxa"/>
            </w:tcMar>
            <w:vAlign w:val="bottom"/>
            <w:hideMark/>
          </w:tcPr>
          <w:p w14:paraId="2BCCABDC" w14:textId="77777777" w:rsidR="00C820B8" w:rsidRPr="0064652A" w:rsidRDefault="008D7FC6">
            <w:pPr>
              <w:rPr>
                <w:color w:val="000000"/>
                <w:sz w:val="20"/>
                <w:szCs w:val="20"/>
              </w:rPr>
            </w:pPr>
            <w:r w:rsidRPr="0064652A">
              <w:rPr>
                <w:color w:val="000000"/>
                <w:sz w:val="20"/>
                <w:szCs w:val="20"/>
              </w:rPr>
              <w:t>Licensing revenue</w:t>
            </w:r>
          </w:p>
        </w:tc>
        <w:tc>
          <w:tcPr>
            <w:tcW w:w="50" w:type="pct"/>
            <w:tcMar>
              <w:top w:w="5" w:type="dxa"/>
              <w:left w:w="5" w:type="dxa"/>
              <w:bottom w:w="5" w:type="dxa"/>
              <w:right w:w="5" w:type="dxa"/>
            </w:tcMar>
            <w:vAlign w:val="bottom"/>
            <w:hideMark/>
          </w:tcPr>
          <w:p w14:paraId="65E9D15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611D0B3"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04803CCC" w14:textId="77777777" w:rsidR="00C820B8" w:rsidRPr="0064652A" w:rsidRDefault="008D7FC6">
            <w:pPr>
              <w:jc w:val="right"/>
              <w:rPr>
                <w:color w:val="000000"/>
                <w:sz w:val="20"/>
                <w:szCs w:val="20"/>
              </w:rPr>
            </w:pPr>
            <w:r w:rsidRPr="0064652A">
              <w:rPr>
                <w:color w:val="000000"/>
                <w:sz w:val="20"/>
                <w:szCs w:val="20"/>
              </w:rPr>
              <w:t>23</w:t>
            </w:r>
          </w:p>
        </w:tc>
        <w:tc>
          <w:tcPr>
            <w:tcW w:w="50" w:type="pct"/>
            <w:noWrap/>
            <w:tcMar>
              <w:top w:w="5" w:type="dxa"/>
              <w:left w:w="5" w:type="dxa"/>
              <w:bottom w:w="20" w:type="dxa"/>
              <w:right w:w="5" w:type="dxa"/>
            </w:tcMar>
            <w:vAlign w:val="bottom"/>
            <w:hideMark/>
          </w:tcPr>
          <w:p w14:paraId="46A9027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CCFD34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BE98BBC"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39A27A92" w14:textId="77777777" w:rsidR="00C820B8" w:rsidRPr="0064652A" w:rsidRDefault="008D7FC6">
            <w:pPr>
              <w:jc w:val="right"/>
              <w:rPr>
                <w:color w:val="000000"/>
                <w:sz w:val="20"/>
                <w:szCs w:val="20"/>
              </w:rPr>
            </w:pPr>
            <w:r w:rsidRPr="0064652A">
              <w:rPr>
                <w:color w:val="000000"/>
                <w:sz w:val="20"/>
                <w:szCs w:val="20"/>
              </w:rPr>
              <w:t>123</w:t>
            </w:r>
          </w:p>
        </w:tc>
        <w:tc>
          <w:tcPr>
            <w:tcW w:w="50" w:type="pct"/>
            <w:noWrap/>
            <w:tcMar>
              <w:top w:w="5" w:type="dxa"/>
              <w:left w:w="5" w:type="dxa"/>
              <w:bottom w:w="20" w:type="dxa"/>
              <w:right w:w="5" w:type="dxa"/>
            </w:tcMar>
            <w:vAlign w:val="bottom"/>
            <w:hideMark/>
          </w:tcPr>
          <w:p w14:paraId="294513A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A0E99C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D2E00B1"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68DD763E" w14:textId="77777777" w:rsidR="00C820B8" w:rsidRPr="0064652A" w:rsidRDefault="008D7FC6">
            <w:pPr>
              <w:jc w:val="right"/>
              <w:rPr>
                <w:color w:val="000000"/>
                <w:sz w:val="20"/>
                <w:szCs w:val="20"/>
              </w:rPr>
            </w:pPr>
            <w:r w:rsidRPr="0064652A">
              <w:rPr>
                <w:color w:val="000000"/>
                <w:sz w:val="20"/>
                <w:szCs w:val="20"/>
              </w:rPr>
              <w:t>124</w:t>
            </w:r>
          </w:p>
        </w:tc>
        <w:tc>
          <w:tcPr>
            <w:tcW w:w="50" w:type="pct"/>
            <w:noWrap/>
            <w:tcMar>
              <w:top w:w="5" w:type="dxa"/>
              <w:left w:w="5" w:type="dxa"/>
              <w:bottom w:w="20" w:type="dxa"/>
              <w:right w:w="5" w:type="dxa"/>
            </w:tcMar>
            <w:vAlign w:val="bottom"/>
            <w:hideMark/>
          </w:tcPr>
          <w:p w14:paraId="130E10C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DA562A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CC57BE6"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6F2F1658" w14:textId="77777777" w:rsidR="00C820B8" w:rsidRPr="0064652A" w:rsidRDefault="008D7FC6">
            <w:pPr>
              <w:jc w:val="right"/>
              <w:rPr>
                <w:color w:val="000000"/>
                <w:sz w:val="20"/>
                <w:szCs w:val="20"/>
              </w:rPr>
            </w:pPr>
            <w:r w:rsidRPr="0064652A">
              <w:rPr>
                <w:color w:val="000000"/>
                <w:sz w:val="20"/>
                <w:szCs w:val="20"/>
              </w:rPr>
              <w:t>271</w:t>
            </w:r>
          </w:p>
        </w:tc>
        <w:tc>
          <w:tcPr>
            <w:tcW w:w="50" w:type="pct"/>
            <w:noWrap/>
            <w:tcMar>
              <w:top w:w="5" w:type="dxa"/>
              <w:left w:w="5" w:type="dxa"/>
              <w:bottom w:w="20" w:type="dxa"/>
              <w:right w:w="5" w:type="dxa"/>
            </w:tcMar>
            <w:vAlign w:val="bottom"/>
            <w:hideMark/>
          </w:tcPr>
          <w:p w14:paraId="7C792E78" w14:textId="77777777" w:rsidR="00C820B8" w:rsidRPr="0064652A" w:rsidRDefault="008D7FC6">
            <w:pPr>
              <w:rPr>
                <w:color w:val="000000"/>
                <w:sz w:val="20"/>
                <w:szCs w:val="20"/>
              </w:rPr>
            </w:pPr>
            <w:r w:rsidRPr="0064652A">
              <w:rPr>
                <w:color w:val="000000"/>
                <w:sz w:val="20"/>
                <w:szCs w:val="20"/>
              </w:rPr>
              <w:t> </w:t>
            </w:r>
          </w:p>
        </w:tc>
      </w:tr>
      <w:tr w:rsidR="00C820B8" w:rsidRPr="0064652A" w14:paraId="5B8775DE" w14:textId="77777777">
        <w:tc>
          <w:tcPr>
            <w:tcW w:w="0" w:type="auto"/>
            <w:tcMar>
              <w:top w:w="5" w:type="dxa"/>
              <w:left w:w="5" w:type="dxa"/>
              <w:bottom w:w="5" w:type="dxa"/>
              <w:right w:w="5" w:type="dxa"/>
            </w:tcMar>
            <w:vAlign w:val="bottom"/>
            <w:hideMark/>
          </w:tcPr>
          <w:p w14:paraId="1000D0EF" w14:textId="77777777" w:rsidR="00C820B8" w:rsidRPr="0064652A" w:rsidRDefault="008D7FC6">
            <w:pPr>
              <w:rPr>
                <w:color w:val="000000"/>
                <w:sz w:val="20"/>
                <w:szCs w:val="20"/>
              </w:rPr>
            </w:pPr>
            <w:r w:rsidRPr="0064652A">
              <w:rPr>
                <w:color w:val="000000"/>
                <w:sz w:val="20"/>
                <w:szCs w:val="20"/>
              </w:rPr>
              <w:t>Royalty income</w:t>
            </w:r>
          </w:p>
        </w:tc>
        <w:tc>
          <w:tcPr>
            <w:tcW w:w="50" w:type="pct"/>
            <w:tcMar>
              <w:top w:w="5" w:type="dxa"/>
              <w:left w:w="5" w:type="dxa"/>
              <w:bottom w:w="5" w:type="dxa"/>
              <w:right w:w="5" w:type="dxa"/>
            </w:tcMar>
            <w:vAlign w:val="bottom"/>
            <w:hideMark/>
          </w:tcPr>
          <w:p w14:paraId="0A5C0D09"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86CCC31"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50E236F0"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1162657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6DA41C6"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E19F25D"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4473C4C8" w14:textId="77777777" w:rsidR="00C820B8" w:rsidRPr="0064652A" w:rsidRDefault="008D7FC6">
            <w:pPr>
              <w:jc w:val="right"/>
              <w:rPr>
                <w:color w:val="000000"/>
                <w:sz w:val="20"/>
                <w:szCs w:val="20"/>
              </w:rPr>
            </w:pPr>
            <w:r w:rsidRPr="0064652A">
              <w:rPr>
                <w:color w:val="000000"/>
                <w:sz w:val="20"/>
                <w:szCs w:val="20"/>
              </w:rPr>
              <w:t>105</w:t>
            </w:r>
          </w:p>
        </w:tc>
        <w:tc>
          <w:tcPr>
            <w:tcW w:w="50" w:type="pct"/>
            <w:noWrap/>
            <w:tcMar>
              <w:top w:w="5" w:type="dxa"/>
              <w:left w:w="5" w:type="dxa"/>
              <w:bottom w:w="5" w:type="dxa"/>
              <w:right w:w="5" w:type="dxa"/>
            </w:tcMar>
            <w:vAlign w:val="bottom"/>
            <w:hideMark/>
          </w:tcPr>
          <w:p w14:paraId="2851152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9A66E76"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0E87C29"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41EFFBD3"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2E9C99B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8C1763E"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0E1F8EC"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38174BC1" w14:textId="77777777" w:rsidR="00C820B8" w:rsidRPr="0064652A" w:rsidRDefault="008D7FC6">
            <w:pPr>
              <w:jc w:val="right"/>
              <w:rPr>
                <w:color w:val="000000"/>
                <w:sz w:val="20"/>
                <w:szCs w:val="20"/>
              </w:rPr>
            </w:pPr>
            <w:r w:rsidRPr="0064652A">
              <w:rPr>
                <w:color w:val="000000"/>
                <w:sz w:val="20"/>
                <w:szCs w:val="20"/>
              </w:rPr>
              <w:t>700</w:t>
            </w:r>
          </w:p>
        </w:tc>
        <w:tc>
          <w:tcPr>
            <w:tcW w:w="50" w:type="pct"/>
            <w:noWrap/>
            <w:tcMar>
              <w:top w:w="5" w:type="dxa"/>
              <w:left w:w="5" w:type="dxa"/>
              <w:bottom w:w="5" w:type="dxa"/>
              <w:right w:w="5" w:type="dxa"/>
            </w:tcMar>
            <w:vAlign w:val="bottom"/>
            <w:hideMark/>
          </w:tcPr>
          <w:p w14:paraId="70C1F2AB" w14:textId="77777777" w:rsidR="00C820B8" w:rsidRPr="0064652A" w:rsidRDefault="008D7FC6">
            <w:pPr>
              <w:rPr>
                <w:color w:val="000000"/>
                <w:sz w:val="20"/>
                <w:szCs w:val="20"/>
              </w:rPr>
            </w:pPr>
            <w:r w:rsidRPr="0064652A">
              <w:rPr>
                <w:color w:val="000000"/>
                <w:sz w:val="20"/>
                <w:szCs w:val="20"/>
              </w:rPr>
              <w:t> </w:t>
            </w:r>
          </w:p>
        </w:tc>
      </w:tr>
      <w:tr w:rsidR="00C820B8" w:rsidRPr="0064652A" w14:paraId="7EA4C6E7" w14:textId="77777777">
        <w:tc>
          <w:tcPr>
            <w:tcW w:w="0" w:type="auto"/>
            <w:tcMar>
              <w:top w:w="5" w:type="dxa"/>
              <w:left w:w="5" w:type="dxa"/>
              <w:bottom w:w="5" w:type="dxa"/>
              <w:right w:w="5" w:type="dxa"/>
            </w:tcMar>
            <w:vAlign w:val="bottom"/>
            <w:hideMark/>
          </w:tcPr>
          <w:p w14:paraId="76C1A747" w14:textId="77777777" w:rsidR="00C820B8" w:rsidRPr="0064652A" w:rsidRDefault="008D7FC6">
            <w:pPr>
              <w:rPr>
                <w:color w:val="000000"/>
                <w:sz w:val="20"/>
                <w:szCs w:val="20"/>
              </w:rPr>
            </w:pPr>
            <w:r w:rsidRPr="0064652A">
              <w:rPr>
                <w:b/>
                <w:bCs/>
                <w:color w:val="000000"/>
                <w:sz w:val="20"/>
                <w:szCs w:val="20"/>
              </w:rPr>
              <w:t>Net revenues</w:t>
            </w:r>
          </w:p>
        </w:tc>
        <w:tc>
          <w:tcPr>
            <w:tcW w:w="50" w:type="pct"/>
            <w:tcMar>
              <w:top w:w="5" w:type="dxa"/>
              <w:left w:w="5" w:type="dxa"/>
              <w:bottom w:w="5" w:type="dxa"/>
              <w:right w:w="5" w:type="dxa"/>
            </w:tcMar>
            <w:vAlign w:val="bottom"/>
            <w:hideMark/>
          </w:tcPr>
          <w:p w14:paraId="7E3B42A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27813CC"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139C55F3" w14:textId="77777777" w:rsidR="00C820B8" w:rsidRPr="0064652A" w:rsidRDefault="008D7FC6">
            <w:pPr>
              <w:jc w:val="right"/>
              <w:rPr>
                <w:color w:val="000000"/>
                <w:sz w:val="20"/>
                <w:szCs w:val="20"/>
              </w:rPr>
            </w:pPr>
            <w:r w:rsidRPr="0064652A">
              <w:rPr>
                <w:b/>
                <w:bCs/>
                <w:color w:val="000000"/>
                <w:sz w:val="20"/>
                <w:szCs w:val="20"/>
              </w:rPr>
              <w:t>2,622</w:t>
            </w:r>
          </w:p>
        </w:tc>
        <w:tc>
          <w:tcPr>
            <w:tcW w:w="50" w:type="pct"/>
            <w:noWrap/>
            <w:tcMar>
              <w:top w:w="5" w:type="dxa"/>
              <w:left w:w="5" w:type="dxa"/>
              <w:bottom w:w="5" w:type="dxa"/>
              <w:right w:w="5" w:type="dxa"/>
            </w:tcMar>
            <w:vAlign w:val="bottom"/>
            <w:hideMark/>
          </w:tcPr>
          <w:p w14:paraId="6F9A00C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21CA04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F3E3A89"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315852B8" w14:textId="77777777" w:rsidR="00C820B8" w:rsidRPr="0064652A" w:rsidRDefault="008D7FC6">
            <w:pPr>
              <w:jc w:val="right"/>
              <w:rPr>
                <w:color w:val="000000"/>
                <w:sz w:val="20"/>
                <w:szCs w:val="20"/>
              </w:rPr>
            </w:pPr>
            <w:r w:rsidRPr="0064652A">
              <w:rPr>
                <w:b/>
                <w:bCs/>
                <w:color w:val="000000"/>
                <w:sz w:val="20"/>
                <w:szCs w:val="20"/>
              </w:rPr>
              <w:t>1,932</w:t>
            </w:r>
          </w:p>
        </w:tc>
        <w:tc>
          <w:tcPr>
            <w:tcW w:w="50" w:type="pct"/>
            <w:noWrap/>
            <w:tcMar>
              <w:top w:w="5" w:type="dxa"/>
              <w:left w:w="5" w:type="dxa"/>
              <w:bottom w:w="5" w:type="dxa"/>
              <w:right w:w="5" w:type="dxa"/>
            </w:tcMar>
            <w:vAlign w:val="bottom"/>
            <w:hideMark/>
          </w:tcPr>
          <w:p w14:paraId="246A291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7B860A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760D112"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78415050" w14:textId="77777777" w:rsidR="00C820B8" w:rsidRPr="0064652A" w:rsidRDefault="008D7FC6">
            <w:pPr>
              <w:jc w:val="right"/>
              <w:rPr>
                <w:color w:val="000000"/>
                <w:sz w:val="20"/>
                <w:szCs w:val="20"/>
              </w:rPr>
            </w:pPr>
            <w:r w:rsidRPr="0064652A">
              <w:rPr>
                <w:b/>
                <w:bCs/>
                <w:color w:val="000000"/>
                <w:sz w:val="20"/>
                <w:szCs w:val="20"/>
              </w:rPr>
              <w:t>6,869</w:t>
            </w:r>
          </w:p>
        </w:tc>
        <w:tc>
          <w:tcPr>
            <w:tcW w:w="50" w:type="pct"/>
            <w:noWrap/>
            <w:tcMar>
              <w:top w:w="5" w:type="dxa"/>
              <w:left w:w="5" w:type="dxa"/>
              <w:bottom w:w="5" w:type="dxa"/>
              <w:right w:w="5" w:type="dxa"/>
            </w:tcMar>
            <w:vAlign w:val="bottom"/>
            <w:hideMark/>
          </w:tcPr>
          <w:p w14:paraId="7CB316C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D7DCB1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DE57332"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46811B68" w14:textId="77777777" w:rsidR="00C820B8" w:rsidRPr="0064652A" w:rsidRDefault="008D7FC6">
            <w:pPr>
              <w:jc w:val="right"/>
              <w:rPr>
                <w:color w:val="000000"/>
                <w:sz w:val="20"/>
                <w:szCs w:val="20"/>
              </w:rPr>
            </w:pPr>
            <w:r w:rsidRPr="0064652A">
              <w:rPr>
                <w:b/>
                <w:bCs/>
                <w:color w:val="000000"/>
                <w:sz w:val="20"/>
                <w:szCs w:val="20"/>
              </w:rPr>
              <w:t>5,306</w:t>
            </w:r>
          </w:p>
        </w:tc>
        <w:tc>
          <w:tcPr>
            <w:tcW w:w="50" w:type="pct"/>
            <w:noWrap/>
            <w:tcMar>
              <w:top w:w="5" w:type="dxa"/>
              <w:left w:w="5" w:type="dxa"/>
              <w:bottom w:w="5" w:type="dxa"/>
              <w:right w:w="5" w:type="dxa"/>
            </w:tcMar>
            <w:vAlign w:val="bottom"/>
            <w:hideMark/>
          </w:tcPr>
          <w:p w14:paraId="6205413E" w14:textId="77777777" w:rsidR="00C820B8" w:rsidRPr="0064652A" w:rsidRDefault="008D7FC6">
            <w:pPr>
              <w:rPr>
                <w:color w:val="000000"/>
                <w:sz w:val="20"/>
                <w:szCs w:val="20"/>
              </w:rPr>
            </w:pPr>
            <w:r w:rsidRPr="0064652A">
              <w:rPr>
                <w:color w:val="000000"/>
                <w:sz w:val="20"/>
                <w:szCs w:val="20"/>
              </w:rPr>
              <w:t> </w:t>
            </w:r>
          </w:p>
        </w:tc>
      </w:tr>
      <w:tr w:rsidR="00C820B8" w:rsidRPr="0064652A" w14:paraId="51E40D3E" w14:textId="77777777">
        <w:tc>
          <w:tcPr>
            <w:tcW w:w="0" w:type="auto"/>
            <w:tcMar>
              <w:top w:w="5" w:type="dxa"/>
              <w:left w:w="5" w:type="dxa"/>
              <w:bottom w:w="5" w:type="dxa"/>
              <w:right w:w="5" w:type="dxa"/>
            </w:tcMar>
            <w:vAlign w:val="bottom"/>
            <w:hideMark/>
          </w:tcPr>
          <w:p w14:paraId="126F94E4" w14:textId="77777777" w:rsidR="00C820B8" w:rsidRPr="0064652A" w:rsidRDefault="008D7FC6">
            <w:pPr>
              <w:rPr>
                <w:color w:val="000000"/>
                <w:sz w:val="20"/>
                <w:szCs w:val="20"/>
              </w:rPr>
            </w:pPr>
            <w:r w:rsidRPr="0064652A">
              <w:rPr>
                <w:color w:val="000000"/>
                <w:sz w:val="20"/>
                <w:szCs w:val="20"/>
              </w:rPr>
              <w:t>Cost of sales</w:t>
            </w:r>
          </w:p>
        </w:tc>
        <w:tc>
          <w:tcPr>
            <w:tcW w:w="50" w:type="pct"/>
            <w:tcMar>
              <w:top w:w="5" w:type="dxa"/>
              <w:left w:w="5" w:type="dxa"/>
              <w:bottom w:w="5" w:type="dxa"/>
              <w:right w:w="5" w:type="dxa"/>
            </w:tcMar>
            <w:vAlign w:val="bottom"/>
            <w:hideMark/>
          </w:tcPr>
          <w:p w14:paraId="5DAFA3C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62BD96C"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4B40D7EE" w14:textId="77777777" w:rsidR="00C820B8" w:rsidRPr="0064652A" w:rsidRDefault="008D7FC6">
            <w:pPr>
              <w:jc w:val="right"/>
              <w:rPr>
                <w:color w:val="000000"/>
                <w:sz w:val="20"/>
                <w:szCs w:val="20"/>
              </w:rPr>
            </w:pPr>
            <w:r w:rsidRPr="0064652A">
              <w:rPr>
                <w:color w:val="000000"/>
                <w:sz w:val="20"/>
                <w:szCs w:val="20"/>
              </w:rPr>
              <w:t>2,144</w:t>
            </w:r>
          </w:p>
        </w:tc>
        <w:tc>
          <w:tcPr>
            <w:tcW w:w="50" w:type="pct"/>
            <w:noWrap/>
            <w:tcMar>
              <w:top w:w="5" w:type="dxa"/>
              <w:left w:w="5" w:type="dxa"/>
              <w:bottom w:w="5" w:type="dxa"/>
              <w:right w:w="5" w:type="dxa"/>
            </w:tcMar>
            <w:vAlign w:val="bottom"/>
            <w:hideMark/>
          </w:tcPr>
          <w:p w14:paraId="11A89B2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C5605C3"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B27B958"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1DFE44F4" w14:textId="77777777" w:rsidR="00C820B8" w:rsidRPr="0064652A" w:rsidRDefault="008D7FC6">
            <w:pPr>
              <w:jc w:val="right"/>
              <w:rPr>
                <w:color w:val="000000"/>
                <w:sz w:val="20"/>
                <w:szCs w:val="20"/>
              </w:rPr>
            </w:pPr>
            <w:r w:rsidRPr="0064652A">
              <w:rPr>
                <w:color w:val="000000"/>
                <w:sz w:val="20"/>
                <w:szCs w:val="20"/>
              </w:rPr>
              <w:t>1,361</w:t>
            </w:r>
          </w:p>
        </w:tc>
        <w:tc>
          <w:tcPr>
            <w:tcW w:w="50" w:type="pct"/>
            <w:noWrap/>
            <w:tcMar>
              <w:top w:w="5" w:type="dxa"/>
              <w:left w:w="5" w:type="dxa"/>
              <w:bottom w:w="5" w:type="dxa"/>
              <w:right w:w="5" w:type="dxa"/>
            </w:tcMar>
            <w:vAlign w:val="bottom"/>
            <w:hideMark/>
          </w:tcPr>
          <w:p w14:paraId="3EA8124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0D19B6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444DE46"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310FDAF4" w14:textId="77777777" w:rsidR="00C820B8" w:rsidRPr="0064652A" w:rsidRDefault="008D7FC6">
            <w:pPr>
              <w:jc w:val="right"/>
              <w:rPr>
                <w:color w:val="000000"/>
                <w:sz w:val="20"/>
                <w:szCs w:val="20"/>
              </w:rPr>
            </w:pPr>
            <w:r w:rsidRPr="0064652A">
              <w:rPr>
                <w:color w:val="000000"/>
                <w:sz w:val="20"/>
                <w:szCs w:val="20"/>
              </w:rPr>
              <w:t>5,654</w:t>
            </w:r>
          </w:p>
        </w:tc>
        <w:tc>
          <w:tcPr>
            <w:tcW w:w="50" w:type="pct"/>
            <w:noWrap/>
            <w:tcMar>
              <w:top w:w="5" w:type="dxa"/>
              <w:left w:w="5" w:type="dxa"/>
              <w:bottom w:w="5" w:type="dxa"/>
              <w:right w:w="5" w:type="dxa"/>
            </w:tcMar>
            <w:vAlign w:val="bottom"/>
            <w:hideMark/>
          </w:tcPr>
          <w:p w14:paraId="484F8CF8"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EDFE72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EB29914"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04A78809" w14:textId="77777777" w:rsidR="00C820B8" w:rsidRPr="0064652A" w:rsidRDefault="008D7FC6">
            <w:pPr>
              <w:jc w:val="right"/>
              <w:rPr>
                <w:color w:val="000000"/>
                <w:sz w:val="20"/>
                <w:szCs w:val="20"/>
              </w:rPr>
            </w:pPr>
            <w:r w:rsidRPr="0064652A">
              <w:rPr>
                <w:color w:val="000000"/>
                <w:sz w:val="20"/>
                <w:szCs w:val="20"/>
              </w:rPr>
              <w:t>3,549</w:t>
            </w:r>
          </w:p>
        </w:tc>
        <w:tc>
          <w:tcPr>
            <w:tcW w:w="50" w:type="pct"/>
            <w:noWrap/>
            <w:tcMar>
              <w:top w:w="5" w:type="dxa"/>
              <w:left w:w="5" w:type="dxa"/>
              <w:bottom w:w="5" w:type="dxa"/>
              <w:right w:w="5" w:type="dxa"/>
            </w:tcMar>
            <w:vAlign w:val="bottom"/>
            <w:hideMark/>
          </w:tcPr>
          <w:p w14:paraId="2A1A66BC" w14:textId="77777777" w:rsidR="00C820B8" w:rsidRPr="0064652A" w:rsidRDefault="008D7FC6">
            <w:pPr>
              <w:rPr>
                <w:color w:val="000000"/>
                <w:sz w:val="20"/>
                <w:szCs w:val="20"/>
              </w:rPr>
            </w:pPr>
            <w:r w:rsidRPr="0064652A">
              <w:rPr>
                <w:color w:val="000000"/>
                <w:sz w:val="20"/>
                <w:szCs w:val="20"/>
              </w:rPr>
              <w:t> </w:t>
            </w:r>
          </w:p>
        </w:tc>
      </w:tr>
      <w:tr w:rsidR="00C820B8" w:rsidRPr="0064652A" w14:paraId="74A7E2B7" w14:textId="77777777">
        <w:tc>
          <w:tcPr>
            <w:tcW w:w="0" w:type="auto"/>
            <w:tcMar>
              <w:top w:w="5" w:type="dxa"/>
              <w:left w:w="5" w:type="dxa"/>
              <w:bottom w:w="5" w:type="dxa"/>
              <w:right w:w="5" w:type="dxa"/>
            </w:tcMar>
            <w:vAlign w:val="bottom"/>
            <w:hideMark/>
          </w:tcPr>
          <w:p w14:paraId="34DCE049" w14:textId="77777777" w:rsidR="00C820B8" w:rsidRPr="0064652A" w:rsidRDefault="008D7FC6">
            <w:pPr>
              <w:rPr>
                <w:color w:val="000000"/>
                <w:sz w:val="20"/>
                <w:szCs w:val="20"/>
              </w:rPr>
            </w:pPr>
            <w:r w:rsidRPr="0064652A">
              <w:rPr>
                <w:color w:val="000000"/>
                <w:sz w:val="20"/>
                <w:szCs w:val="20"/>
              </w:rPr>
              <w:t>Selling, general and administrative expenses</w:t>
            </w:r>
          </w:p>
        </w:tc>
        <w:tc>
          <w:tcPr>
            <w:tcW w:w="50" w:type="pct"/>
            <w:tcMar>
              <w:top w:w="5" w:type="dxa"/>
              <w:left w:w="5" w:type="dxa"/>
              <w:bottom w:w="5" w:type="dxa"/>
              <w:right w:w="5" w:type="dxa"/>
            </w:tcMar>
            <w:vAlign w:val="bottom"/>
            <w:hideMark/>
          </w:tcPr>
          <w:p w14:paraId="1895256B"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CC925A1"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3BB56E53" w14:textId="77777777" w:rsidR="00C820B8" w:rsidRPr="0064652A" w:rsidRDefault="008D7FC6">
            <w:pPr>
              <w:jc w:val="right"/>
              <w:rPr>
                <w:color w:val="000000"/>
                <w:sz w:val="20"/>
                <w:szCs w:val="20"/>
              </w:rPr>
            </w:pPr>
            <w:r w:rsidRPr="0064652A">
              <w:rPr>
                <w:color w:val="000000"/>
                <w:sz w:val="20"/>
                <w:szCs w:val="20"/>
              </w:rPr>
              <w:t>1,202</w:t>
            </w:r>
          </w:p>
        </w:tc>
        <w:tc>
          <w:tcPr>
            <w:tcW w:w="50" w:type="pct"/>
            <w:noWrap/>
            <w:tcMar>
              <w:top w:w="5" w:type="dxa"/>
              <w:left w:w="5" w:type="dxa"/>
              <w:bottom w:w="20" w:type="dxa"/>
              <w:right w:w="5" w:type="dxa"/>
            </w:tcMar>
            <w:vAlign w:val="bottom"/>
            <w:hideMark/>
          </w:tcPr>
          <w:p w14:paraId="3A56420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A2F6175"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6BA7C5A"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5B416109" w14:textId="77777777" w:rsidR="00C820B8" w:rsidRPr="0064652A" w:rsidRDefault="008D7FC6">
            <w:pPr>
              <w:jc w:val="right"/>
              <w:rPr>
                <w:color w:val="000000"/>
                <w:sz w:val="20"/>
                <w:szCs w:val="20"/>
              </w:rPr>
            </w:pPr>
            <w:r w:rsidRPr="0064652A">
              <w:rPr>
                <w:color w:val="000000"/>
                <w:sz w:val="20"/>
                <w:szCs w:val="20"/>
              </w:rPr>
              <w:t>1,051</w:t>
            </w:r>
          </w:p>
        </w:tc>
        <w:tc>
          <w:tcPr>
            <w:tcW w:w="50" w:type="pct"/>
            <w:noWrap/>
            <w:tcMar>
              <w:top w:w="5" w:type="dxa"/>
              <w:left w:w="5" w:type="dxa"/>
              <w:bottom w:w="20" w:type="dxa"/>
              <w:right w:w="5" w:type="dxa"/>
            </w:tcMar>
            <w:vAlign w:val="bottom"/>
            <w:hideMark/>
          </w:tcPr>
          <w:p w14:paraId="76347606"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5A0C9A0"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463EC4C"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586CEC09" w14:textId="77777777" w:rsidR="00C820B8" w:rsidRPr="0064652A" w:rsidRDefault="008D7FC6">
            <w:pPr>
              <w:jc w:val="right"/>
              <w:rPr>
                <w:color w:val="000000"/>
                <w:sz w:val="20"/>
                <w:szCs w:val="20"/>
              </w:rPr>
            </w:pPr>
            <w:r w:rsidRPr="0064652A">
              <w:rPr>
                <w:color w:val="000000"/>
                <w:sz w:val="20"/>
                <w:szCs w:val="20"/>
              </w:rPr>
              <w:t>3,464</w:t>
            </w:r>
          </w:p>
        </w:tc>
        <w:tc>
          <w:tcPr>
            <w:tcW w:w="50" w:type="pct"/>
            <w:noWrap/>
            <w:tcMar>
              <w:top w:w="5" w:type="dxa"/>
              <w:left w:w="5" w:type="dxa"/>
              <w:bottom w:w="20" w:type="dxa"/>
              <w:right w:w="5" w:type="dxa"/>
            </w:tcMar>
            <w:vAlign w:val="bottom"/>
            <w:hideMark/>
          </w:tcPr>
          <w:p w14:paraId="65A7F99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81F44BC"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29CDE8D"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3712A39C" w14:textId="77777777" w:rsidR="00C820B8" w:rsidRPr="0064652A" w:rsidRDefault="008D7FC6">
            <w:pPr>
              <w:jc w:val="right"/>
              <w:rPr>
                <w:color w:val="000000"/>
                <w:sz w:val="20"/>
                <w:szCs w:val="20"/>
              </w:rPr>
            </w:pPr>
            <w:r w:rsidRPr="0064652A">
              <w:rPr>
                <w:color w:val="000000"/>
                <w:sz w:val="20"/>
                <w:szCs w:val="20"/>
              </w:rPr>
              <w:t>3,686</w:t>
            </w:r>
          </w:p>
        </w:tc>
        <w:tc>
          <w:tcPr>
            <w:tcW w:w="50" w:type="pct"/>
            <w:noWrap/>
            <w:tcMar>
              <w:top w:w="5" w:type="dxa"/>
              <w:left w:w="5" w:type="dxa"/>
              <w:bottom w:w="20" w:type="dxa"/>
              <w:right w:w="5" w:type="dxa"/>
            </w:tcMar>
            <w:vAlign w:val="bottom"/>
            <w:hideMark/>
          </w:tcPr>
          <w:p w14:paraId="611B7016" w14:textId="77777777" w:rsidR="00C820B8" w:rsidRPr="0064652A" w:rsidRDefault="008D7FC6">
            <w:pPr>
              <w:rPr>
                <w:color w:val="000000"/>
                <w:sz w:val="20"/>
                <w:szCs w:val="20"/>
              </w:rPr>
            </w:pPr>
            <w:r w:rsidRPr="0064652A">
              <w:rPr>
                <w:color w:val="000000"/>
                <w:sz w:val="20"/>
                <w:szCs w:val="20"/>
              </w:rPr>
              <w:t> </w:t>
            </w:r>
          </w:p>
        </w:tc>
      </w:tr>
      <w:tr w:rsidR="00C820B8" w:rsidRPr="0064652A" w14:paraId="52B8C301" w14:textId="77777777">
        <w:tc>
          <w:tcPr>
            <w:tcW w:w="0" w:type="auto"/>
            <w:tcMar>
              <w:top w:w="5" w:type="dxa"/>
              <w:left w:w="5" w:type="dxa"/>
              <w:bottom w:w="5" w:type="dxa"/>
              <w:right w:w="5" w:type="dxa"/>
            </w:tcMar>
            <w:vAlign w:val="bottom"/>
            <w:hideMark/>
          </w:tcPr>
          <w:p w14:paraId="67B187CE" w14:textId="77777777" w:rsidR="00C820B8" w:rsidRPr="0064652A" w:rsidRDefault="008D7FC6">
            <w:pPr>
              <w:rPr>
                <w:color w:val="000000"/>
                <w:sz w:val="20"/>
                <w:szCs w:val="20"/>
              </w:rPr>
            </w:pPr>
            <w:r w:rsidRPr="0064652A">
              <w:rPr>
                <w:b/>
                <w:bCs/>
                <w:color w:val="000000"/>
                <w:sz w:val="20"/>
                <w:szCs w:val="20"/>
              </w:rPr>
              <w:t>Operating loss</w:t>
            </w:r>
          </w:p>
        </w:tc>
        <w:tc>
          <w:tcPr>
            <w:tcW w:w="50" w:type="pct"/>
            <w:tcMar>
              <w:top w:w="5" w:type="dxa"/>
              <w:left w:w="5" w:type="dxa"/>
              <w:bottom w:w="5" w:type="dxa"/>
              <w:right w:w="5" w:type="dxa"/>
            </w:tcMar>
            <w:vAlign w:val="bottom"/>
            <w:hideMark/>
          </w:tcPr>
          <w:p w14:paraId="20B3D77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E5D7361"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52201BD7" w14:textId="77777777" w:rsidR="00C820B8" w:rsidRPr="0064652A" w:rsidRDefault="008D7FC6">
            <w:pPr>
              <w:jc w:val="right"/>
              <w:rPr>
                <w:color w:val="000000"/>
                <w:sz w:val="20"/>
                <w:szCs w:val="20"/>
              </w:rPr>
            </w:pPr>
            <w:r w:rsidRPr="0064652A">
              <w:rPr>
                <w:b/>
                <w:bCs/>
                <w:color w:val="000000"/>
                <w:sz w:val="20"/>
                <w:szCs w:val="20"/>
              </w:rPr>
              <w:t>(724</w:t>
            </w:r>
          </w:p>
        </w:tc>
        <w:tc>
          <w:tcPr>
            <w:tcW w:w="50" w:type="pct"/>
            <w:noWrap/>
            <w:tcMar>
              <w:top w:w="5" w:type="dxa"/>
              <w:left w:w="5" w:type="dxa"/>
              <w:bottom w:w="5" w:type="dxa"/>
              <w:right w:w="5" w:type="dxa"/>
            </w:tcMar>
            <w:vAlign w:val="bottom"/>
            <w:hideMark/>
          </w:tcPr>
          <w:p w14:paraId="34D8EB83" w14:textId="77777777" w:rsidR="00C820B8" w:rsidRPr="0064652A" w:rsidRDefault="008D7FC6">
            <w:pPr>
              <w:rPr>
                <w:color w:val="000000"/>
                <w:sz w:val="20"/>
                <w:szCs w:val="20"/>
              </w:rPr>
            </w:pPr>
            <w:r w:rsidRPr="0064652A">
              <w:rPr>
                <w:b/>
                <w:bCs/>
                <w:color w:val="000000"/>
                <w:sz w:val="20"/>
                <w:szCs w:val="20"/>
              </w:rPr>
              <w:t>)</w:t>
            </w:r>
          </w:p>
        </w:tc>
        <w:tc>
          <w:tcPr>
            <w:tcW w:w="50" w:type="pct"/>
            <w:tcMar>
              <w:top w:w="5" w:type="dxa"/>
              <w:left w:w="5" w:type="dxa"/>
              <w:bottom w:w="5" w:type="dxa"/>
              <w:right w:w="5" w:type="dxa"/>
            </w:tcMar>
            <w:vAlign w:val="bottom"/>
            <w:hideMark/>
          </w:tcPr>
          <w:p w14:paraId="00CFC35B"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D862777"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5EA4DCEB" w14:textId="77777777" w:rsidR="00C820B8" w:rsidRPr="0064652A" w:rsidRDefault="008D7FC6">
            <w:pPr>
              <w:jc w:val="right"/>
              <w:rPr>
                <w:color w:val="000000"/>
                <w:sz w:val="20"/>
                <w:szCs w:val="20"/>
              </w:rPr>
            </w:pPr>
            <w:r w:rsidRPr="0064652A">
              <w:rPr>
                <w:b/>
                <w:bCs/>
                <w:color w:val="000000"/>
                <w:sz w:val="20"/>
                <w:szCs w:val="20"/>
              </w:rPr>
              <w:t>(480</w:t>
            </w:r>
          </w:p>
        </w:tc>
        <w:tc>
          <w:tcPr>
            <w:tcW w:w="50" w:type="pct"/>
            <w:noWrap/>
            <w:tcMar>
              <w:top w:w="5" w:type="dxa"/>
              <w:left w:w="5" w:type="dxa"/>
              <w:bottom w:w="5" w:type="dxa"/>
              <w:right w:w="5" w:type="dxa"/>
            </w:tcMar>
            <w:vAlign w:val="bottom"/>
            <w:hideMark/>
          </w:tcPr>
          <w:p w14:paraId="75BBFCC2" w14:textId="77777777" w:rsidR="00C820B8" w:rsidRPr="0064652A" w:rsidRDefault="008D7FC6">
            <w:pPr>
              <w:rPr>
                <w:color w:val="000000"/>
                <w:sz w:val="20"/>
                <w:szCs w:val="20"/>
              </w:rPr>
            </w:pPr>
            <w:r w:rsidRPr="0064652A">
              <w:rPr>
                <w:b/>
                <w:bCs/>
                <w:color w:val="000000"/>
                <w:sz w:val="20"/>
                <w:szCs w:val="20"/>
              </w:rPr>
              <w:t>)</w:t>
            </w:r>
          </w:p>
        </w:tc>
        <w:tc>
          <w:tcPr>
            <w:tcW w:w="50" w:type="pct"/>
            <w:tcMar>
              <w:top w:w="5" w:type="dxa"/>
              <w:left w:w="5" w:type="dxa"/>
              <w:bottom w:w="5" w:type="dxa"/>
              <w:right w:w="5" w:type="dxa"/>
            </w:tcMar>
            <w:vAlign w:val="bottom"/>
            <w:hideMark/>
          </w:tcPr>
          <w:p w14:paraId="47DC931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402BEED"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28637C71" w14:textId="77777777" w:rsidR="00C820B8" w:rsidRPr="0064652A" w:rsidRDefault="008D7FC6">
            <w:pPr>
              <w:jc w:val="right"/>
              <w:rPr>
                <w:color w:val="000000"/>
                <w:sz w:val="20"/>
                <w:szCs w:val="20"/>
              </w:rPr>
            </w:pPr>
            <w:r w:rsidRPr="0064652A">
              <w:rPr>
                <w:b/>
                <w:bCs/>
                <w:color w:val="000000"/>
                <w:sz w:val="20"/>
                <w:szCs w:val="20"/>
              </w:rPr>
              <w:t>(2,249</w:t>
            </w:r>
          </w:p>
        </w:tc>
        <w:tc>
          <w:tcPr>
            <w:tcW w:w="50" w:type="pct"/>
            <w:noWrap/>
            <w:tcMar>
              <w:top w:w="5" w:type="dxa"/>
              <w:left w:w="5" w:type="dxa"/>
              <w:bottom w:w="5" w:type="dxa"/>
              <w:right w:w="5" w:type="dxa"/>
            </w:tcMar>
            <w:vAlign w:val="bottom"/>
            <w:hideMark/>
          </w:tcPr>
          <w:p w14:paraId="0BA9B5B9" w14:textId="77777777" w:rsidR="00C820B8" w:rsidRPr="0064652A" w:rsidRDefault="008D7FC6">
            <w:pPr>
              <w:rPr>
                <w:color w:val="000000"/>
                <w:sz w:val="20"/>
                <w:szCs w:val="20"/>
              </w:rPr>
            </w:pPr>
            <w:r w:rsidRPr="0064652A">
              <w:rPr>
                <w:b/>
                <w:bCs/>
                <w:color w:val="000000"/>
                <w:sz w:val="20"/>
                <w:szCs w:val="20"/>
              </w:rPr>
              <w:t>)</w:t>
            </w:r>
          </w:p>
        </w:tc>
        <w:tc>
          <w:tcPr>
            <w:tcW w:w="50" w:type="pct"/>
            <w:tcMar>
              <w:top w:w="5" w:type="dxa"/>
              <w:left w:w="5" w:type="dxa"/>
              <w:bottom w:w="5" w:type="dxa"/>
              <w:right w:w="5" w:type="dxa"/>
            </w:tcMar>
            <w:vAlign w:val="bottom"/>
            <w:hideMark/>
          </w:tcPr>
          <w:p w14:paraId="08AD364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808F55F"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0ABA2FB5" w14:textId="77777777" w:rsidR="00C820B8" w:rsidRPr="0064652A" w:rsidRDefault="008D7FC6">
            <w:pPr>
              <w:jc w:val="right"/>
              <w:rPr>
                <w:color w:val="000000"/>
                <w:sz w:val="20"/>
                <w:szCs w:val="20"/>
              </w:rPr>
            </w:pPr>
            <w:r w:rsidRPr="0064652A">
              <w:rPr>
                <w:b/>
                <w:bCs/>
                <w:color w:val="000000"/>
                <w:sz w:val="20"/>
                <w:szCs w:val="20"/>
              </w:rPr>
              <w:t>(1,929</w:t>
            </w:r>
          </w:p>
        </w:tc>
        <w:tc>
          <w:tcPr>
            <w:tcW w:w="50" w:type="pct"/>
            <w:noWrap/>
            <w:tcMar>
              <w:top w:w="5" w:type="dxa"/>
              <w:left w:w="5" w:type="dxa"/>
              <w:bottom w:w="5" w:type="dxa"/>
              <w:right w:w="5" w:type="dxa"/>
            </w:tcMar>
            <w:vAlign w:val="bottom"/>
            <w:hideMark/>
          </w:tcPr>
          <w:p w14:paraId="23C4DF57" w14:textId="77777777" w:rsidR="00C820B8" w:rsidRPr="0064652A" w:rsidRDefault="008D7FC6">
            <w:pPr>
              <w:rPr>
                <w:color w:val="000000"/>
                <w:sz w:val="20"/>
                <w:szCs w:val="20"/>
              </w:rPr>
            </w:pPr>
            <w:r w:rsidRPr="0064652A">
              <w:rPr>
                <w:b/>
                <w:bCs/>
                <w:color w:val="000000"/>
                <w:sz w:val="20"/>
                <w:szCs w:val="20"/>
              </w:rPr>
              <w:t>)</w:t>
            </w:r>
          </w:p>
        </w:tc>
      </w:tr>
      <w:tr w:rsidR="00C820B8" w:rsidRPr="0064652A" w14:paraId="11A13B3B" w14:textId="77777777">
        <w:tc>
          <w:tcPr>
            <w:tcW w:w="0" w:type="auto"/>
            <w:tcMar>
              <w:top w:w="5" w:type="dxa"/>
              <w:left w:w="5" w:type="dxa"/>
              <w:bottom w:w="5" w:type="dxa"/>
              <w:right w:w="5" w:type="dxa"/>
            </w:tcMar>
            <w:vAlign w:val="bottom"/>
            <w:hideMark/>
          </w:tcPr>
          <w:p w14:paraId="151DD243" w14:textId="77777777" w:rsidR="00C820B8" w:rsidRPr="0064652A" w:rsidRDefault="008D7FC6">
            <w:pPr>
              <w:rPr>
                <w:color w:val="000000"/>
                <w:sz w:val="20"/>
                <w:szCs w:val="20"/>
              </w:rPr>
            </w:pPr>
            <w:r w:rsidRPr="0064652A">
              <w:rPr>
                <w:color w:val="000000"/>
                <w:sz w:val="20"/>
                <w:szCs w:val="20"/>
              </w:rPr>
              <w:t>Settlement of litigation</w:t>
            </w:r>
          </w:p>
        </w:tc>
        <w:tc>
          <w:tcPr>
            <w:tcW w:w="50" w:type="pct"/>
            <w:tcMar>
              <w:top w:w="5" w:type="dxa"/>
              <w:left w:w="5" w:type="dxa"/>
              <w:bottom w:w="5" w:type="dxa"/>
              <w:right w:w="5" w:type="dxa"/>
            </w:tcMar>
            <w:vAlign w:val="bottom"/>
            <w:hideMark/>
          </w:tcPr>
          <w:p w14:paraId="34180019"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7C89BEC"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0612623D"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0A4F65C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301205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7D41C220"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5EC14BBF"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3883BD9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10E516F"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D56CC8B"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55F1B355" w14:textId="77777777" w:rsidR="00C820B8" w:rsidRPr="0064652A" w:rsidRDefault="008D7FC6">
            <w:pPr>
              <w:jc w:val="right"/>
              <w:rPr>
                <w:color w:val="000000"/>
                <w:sz w:val="20"/>
                <w:szCs w:val="20"/>
              </w:rPr>
            </w:pPr>
            <w:r w:rsidRPr="0064652A">
              <w:rPr>
                <w:color w:val="000000"/>
                <w:sz w:val="20"/>
                <w:szCs w:val="20"/>
              </w:rPr>
              <w:t>3,100</w:t>
            </w:r>
          </w:p>
        </w:tc>
        <w:tc>
          <w:tcPr>
            <w:tcW w:w="50" w:type="pct"/>
            <w:noWrap/>
            <w:tcMar>
              <w:top w:w="5" w:type="dxa"/>
              <w:left w:w="5" w:type="dxa"/>
              <w:bottom w:w="5" w:type="dxa"/>
              <w:right w:w="5" w:type="dxa"/>
            </w:tcMar>
            <w:vAlign w:val="bottom"/>
            <w:hideMark/>
          </w:tcPr>
          <w:p w14:paraId="34799E9E"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8C6EBF7"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2573108"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2600D2A1"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5" w:type="dxa"/>
              <w:right w:w="5" w:type="dxa"/>
            </w:tcMar>
            <w:vAlign w:val="bottom"/>
            <w:hideMark/>
          </w:tcPr>
          <w:p w14:paraId="089D3259" w14:textId="77777777" w:rsidR="00C820B8" w:rsidRPr="0064652A" w:rsidRDefault="008D7FC6">
            <w:pPr>
              <w:rPr>
                <w:color w:val="000000"/>
                <w:sz w:val="20"/>
                <w:szCs w:val="20"/>
              </w:rPr>
            </w:pPr>
            <w:r w:rsidRPr="0064652A">
              <w:rPr>
                <w:color w:val="000000"/>
                <w:sz w:val="20"/>
                <w:szCs w:val="20"/>
              </w:rPr>
              <w:t> </w:t>
            </w:r>
          </w:p>
        </w:tc>
      </w:tr>
      <w:tr w:rsidR="00C820B8" w:rsidRPr="0064652A" w14:paraId="46762721" w14:textId="77777777">
        <w:tc>
          <w:tcPr>
            <w:tcW w:w="0" w:type="auto"/>
            <w:tcMar>
              <w:top w:w="5" w:type="dxa"/>
              <w:left w:w="5" w:type="dxa"/>
              <w:bottom w:w="5" w:type="dxa"/>
              <w:right w:w="5" w:type="dxa"/>
            </w:tcMar>
            <w:vAlign w:val="bottom"/>
            <w:hideMark/>
          </w:tcPr>
          <w:p w14:paraId="7169F111" w14:textId="77777777" w:rsidR="00C820B8" w:rsidRPr="0064652A" w:rsidRDefault="008D7FC6">
            <w:pPr>
              <w:rPr>
                <w:color w:val="000000"/>
                <w:sz w:val="20"/>
                <w:szCs w:val="20"/>
              </w:rPr>
            </w:pPr>
            <w:r w:rsidRPr="0064652A">
              <w:rPr>
                <w:color w:val="000000"/>
                <w:sz w:val="20"/>
                <w:szCs w:val="20"/>
              </w:rPr>
              <w:t>Interest income, net</w:t>
            </w:r>
          </w:p>
        </w:tc>
        <w:tc>
          <w:tcPr>
            <w:tcW w:w="50" w:type="pct"/>
            <w:tcMar>
              <w:top w:w="5" w:type="dxa"/>
              <w:left w:w="5" w:type="dxa"/>
              <w:bottom w:w="5" w:type="dxa"/>
              <w:right w:w="5" w:type="dxa"/>
            </w:tcMar>
            <w:vAlign w:val="bottom"/>
            <w:hideMark/>
          </w:tcPr>
          <w:p w14:paraId="0852009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CECFAB7"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3A5B2D3A" w14:textId="77777777" w:rsidR="00C820B8" w:rsidRPr="0064652A" w:rsidRDefault="008D7FC6">
            <w:pPr>
              <w:jc w:val="right"/>
              <w:rPr>
                <w:color w:val="000000"/>
                <w:sz w:val="20"/>
                <w:szCs w:val="20"/>
              </w:rPr>
            </w:pPr>
            <w:r w:rsidRPr="0064652A">
              <w:rPr>
                <w:color w:val="000000"/>
                <w:sz w:val="20"/>
                <w:szCs w:val="20"/>
              </w:rPr>
              <w:t>289</w:t>
            </w:r>
          </w:p>
        </w:tc>
        <w:tc>
          <w:tcPr>
            <w:tcW w:w="50" w:type="pct"/>
            <w:noWrap/>
            <w:tcMar>
              <w:top w:w="5" w:type="dxa"/>
              <w:left w:w="5" w:type="dxa"/>
              <w:bottom w:w="5" w:type="dxa"/>
              <w:right w:w="5" w:type="dxa"/>
            </w:tcMar>
            <w:vAlign w:val="bottom"/>
            <w:hideMark/>
          </w:tcPr>
          <w:p w14:paraId="56E2CF6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63A96C0"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0B62DC7"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0806DF99" w14:textId="77777777" w:rsidR="00C820B8" w:rsidRPr="0064652A" w:rsidRDefault="008D7FC6">
            <w:pPr>
              <w:jc w:val="right"/>
              <w:rPr>
                <w:color w:val="000000"/>
                <w:sz w:val="20"/>
                <w:szCs w:val="20"/>
              </w:rPr>
            </w:pPr>
            <w:r w:rsidRPr="0064652A">
              <w:rPr>
                <w:color w:val="000000"/>
                <w:sz w:val="20"/>
                <w:szCs w:val="20"/>
              </w:rPr>
              <w:t>235</w:t>
            </w:r>
          </w:p>
        </w:tc>
        <w:tc>
          <w:tcPr>
            <w:tcW w:w="50" w:type="pct"/>
            <w:noWrap/>
            <w:tcMar>
              <w:top w:w="5" w:type="dxa"/>
              <w:left w:w="5" w:type="dxa"/>
              <w:bottom w:w="5" w:type="dxa"/>
              <w:right w:w="5" w:type="dxa"/>
            </w:tcMar>
            <w:vAlign w:val="bottom"/>
            <w:hideMark/>
          </w:tcPr>
          <w:p w14:paraId="0ABC9BD2"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0B2735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8FFEFAD"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6D9AB196" w14:textId="77777777" w:rsidR="00C820B8" w:rsidRPr="0064652A" w:rsidRDefault="008D7FC6">
            <w:pPr>
              <w:jc w:val="right"/>
              <w:rPr>
                <w:color w:val="000000"/>
                <w:sz w:val="20"/>
                <w:szCs w:val="20"/>
              </w:rPr>
            </w:pPr>
            <w:r w:rsidRPr="0064652A">
              <w:rPr>
                <w:color w:val="000000"/>
                <w:sz w:val="20"/>
                <w:szCs w:val="20"/>
              </w:rPr>
              <w:t>872</w:t>
            </w:r>
          </w:p>
        </w:tc>
        <w:tc>
          <w:tcPr>
            <w:tcW w:w="50" w:type="pct"/>
            <w:noWrap/>
            <w:tcMar>
              <w:top w:w="5" w:type="dxa"/>
              <w:left w:w="5" w:type="dxa"/>
              <w:bottom w:w="5" w:type="dxa"/>
              <w:right w:w="5" w:type="dxa"/>
            </w:tcMar>
            <w:vAlign w:val="bottom"/>
            <w:hideMark/>
          </w:tcPr>
          <w:p w14:paraId="629BC8D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D73E78D"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286B5BC"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74F6B8E6" w14:textId="77777777" w:rsidR="00C820B8" w:rsidRPr="0064652A" w:rsidRDefault="008D7FC6">
            <w:pPr>
              <w:jc w:val="right"/>
              <w:rPr>
                <w:color w:val="000000"/>
                <w:sz w:val="20"/>
                <w:szCs w:val="20"/>
              </w:rPr>
            </w:pPr>
            <w:r w:rsidRPr="0064652A">
              <w:rPr>
                <w:color w:val="000000"/>
                <w:sz w:val="20"/>
                <w:szCs w:val="20"/>
              </w:rPr>
              <w:t>424</w:t>
            </w:r>
          </w:p>
        </w:tc>
        <w:tc>
          <w:tcPr>
            <w:tcW w:w="50" w:type="pct"/>
            <w:noWrap/>
            <w:tcMar>
              <w:top w:w="5" w:type="dxa"/>
              <w:left w:w="5" w:type="dxa"/>
              <w:bottom w:w="5" w:type="dxa"/>
              <w:right w:w="5" w:type="dxa"/>
            </w:tcMar>
            <w:vAlign w:val="bottom"/>
            <w:hideMark/>
          </w:tcPr>
          <w:p w14:paraId="382033F6" w14:textId="77777777" w:rsidR="00C820B8" w:rsidRPr="0064652A" w:rsidRDefault="008D7FC6">
            <w:pPr>
              <w:rPr>
                <w:color w:val="000000"/>
                <w:sz w:val="20"/>
                <w:szCs w:val="20"/>
              </w:rPr>
            </w:pPr>
            <w:r w:rsidRPr="0064652A">
              <w:rPr>
                <w:color w:val="000000"/>
                <w:sz w:val="20"/>
                <w:szCs w:val="20"/>
              </w:rPr>
              <w:t> </w:t>
            </w:r>
          </w:p>
        </w:tc>
      </w:tr>
      <w:tr w:rsidR="00C820B8" w:rsidRPr="0064652A" w14:paraId="6C1EBA45" w14:textId="77777777">
        <w:tc>
          <w:tcPr>
            <w:tcW w:w="0" w:type="auto"/>
            <w:tcMar>
              <w:top w:w="5" w:type="dxa"/>
              <w:left w:w="5" w:type="dxa"/>
              <w:bottom w:w="5" w:type="dxa"/>
              <w:right w:w="5" w:type="dxa"/>
            </w:tcMar>
            <w:vAlign w:val="bottom"/>
            <w:hideMark/>
          </w:tcPr>
          <w:p w14:paraId="3DC7F0C2" w14:textId="77777777" w:rsidR="00C820B8" w:rsidRPr="0064652A" w:rsidRDefault="008D7FC6">
            <w:pPr>
              <w:rPr>
                <w:color w:val="000000"/>
                <w:sz w:val="20"/>
                <w:szCs w:val="20"/>
              </w:rPr>
            </w:pPr>
            <w:r w:rsidRPr="0064652A">
              <w:rPr>
                <w:color w:val="000000"/>
                <w:sz w:val="20"/>
                <w:szCs w:val="20"/>
              </w:rPr>
              <w:t>Income from governmental assistance programs</w:t>
            </w:r>
          </w:p>
        </w:tc>
        <w:tc>
          <w:tcPr>
            <w:tcW w:w="50" w:type="pct"/>
            <w:tcMar>
              <w:top w:w="5" w:type="dxa"/>
              <w:left w:w="5" w:type="dxa"/>
              <w:bottom w:w="5" w:type="dxa"/>
              <w:right w:w="5" w:type="dxa"/>
            </w:tcMar>
            <w:vAlign w:val="bottom"/>
            <w:hideMark/>
          </w:tcPr>
          <w:p w14:paraId="3A6C1F2A"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0F45C2E"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19814D52"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107FF8E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87BFBDA"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7799670"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3E8D2207" w14:textId="77777777" w:rsidR="00C820B8" w:rsidRPr="0064652A" w:rsidRDefault="008D7FC6">
            <w:pPr>
              <w:jc w:val="right"/>
              <w:rPr>
                <w:color w:val="000000"/>
                <w:sz w:val="20"/>
                <w:szCs w:val="20"/>
              </w:rPr>
            </w:pPr>
            <w:r w:rsidRPr="0064652A">
              <w:rPr>
                <w:color w:val="000000"/>
                <w:sz w:val="20"/>
                <w:szCs w:val="20"/>
              </w:rPr>
              <w:t>4</w:t>
            </w:r>
          </w:p>
        </w:tc>
        <w:tc>
          <w:tcPr>
            <w:tcW w:w="50" w:type="pct"/>
            <w:noWrap/>
            <w:tcMar>
              <w:top w:w="5" w:type="dxa"/>
              <w:left w:w="5" w:type="dxa"/>
              <w:bottom w:w="20" w:type="dxa"/>
              <w:right w:w="5" w:type="dxa"/>
            </w:tcMar>
            <w:vAlign w:val="bottom"/>
            <w:hideMark/>
          </w:tcPr>
          <w:p w14:paraId="475F2A21"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28E007AF"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5939A4B"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7A93014A"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74A5701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09CAE8AC"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84CC3C2"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43FEC8EF" w14:textId="77777777" w:rsidR="00C820B8" w:rsidRPr="0064652A" w:rsidRDefault="008D7FC6">
            <w:pPr>
              <w:jc w:val="right"/>
              <w:rPr>
                <w:color w:val="000000"/>
                <w:sz w:val="20"/>
                <w:szCs w:val="20"/>
              </w:rPr>
            </w:pPr>
            <w:r w:rsidRPr="0064652A">
              <w:rPr>
                <w:color w:val="000000"/>
                <w:sz w:val="20"/>
                <w:szCs w:val="20"/>
              </w:rPr>
              <w:t>34</w:t>
            </w:r>
          </w:p>
        </w:tc>
        <w:tc>
          <w:tcPr>
            <w:tcW w:w="50" w:type="pct"/>
            <w:noWrap/>
            <w:tcMar>
              <w:top w:w="5" w:type="dxa"/>
              <w:left w:w="5" w:type="dxa"/>
              <w:bottom w:w="20" w:type="dxa"/>
              <w:right w:w="5" w:type="dxa"/>
            </w:tcMar>
            <w:vAlign w:val="bottom"/>
            <w:hideMark/>
          </w:tcPr>
          <w:p w14:paraId="206F6267" w14:textId="77777777" w:rsidR="00C820B8" w:rsidRPr="0064652A" w:rsidRDefault="008D7FC6">
            <w:pPr>
              <w:rPr>
                <w:color w:val="000000"/>
                <w:sz w:val="20"/>
                <w:szCs w:val="20"/>
              </w:rPr>
            </w:pPr>
            <w:r w:rsidRPr="0064652A">
              <w:rPr>
                <w:color w:val="000000"/>
                <w:sz w:val="20"/>
                <w:szCs w:val="20"/>
              </w:rPr>
              <w:t> </w:t>
            </w:r>
          </w:p>
        </w:tc>
      </w:tr>
      <w:tr w:rsidR="00C820B8" w:rsidRPr="0064652A" w14:paraId="3F5533DD" w14:textId="77777777">
        <w:tc>
          <w:tcPr>
            <w:tcW w:w="0" w:type="auto"/>
            <w:tcMar>
              <w:top w:w="5" w:type="dxa"/>
              <w:left w:w="5" w:type="dxa"/>
              <w:bottom w:w="5" w:type="dxa"/>
              <w:right w:w="5" w:type="dxa"/>
            </w:tcMar>
            <w:vAlign w:val="bottom"/>
            <w:hideMark/>
          </w:tcPr>
          <w:p w14:paraId="71DCD363" w14:textId="77777777" w:rsidR="00C820B8" w:rsidRPr="0064652A" w:rsidRDefault="008D7FC6">
            <w:pPr>
              <w:rPr>
                <w:color w:val="000000"/>
                <w:sz w:val="20"/>
                <w:szCs w:val="20"/>
              </w:rPr>
            </w:pPr>
            <w:r w:rsidRPr="0064652A">
              <w:rPr>
                <w:b/>
                <w:bCs/>
                <w:color w:val="000000"/>
                <w:sz w:val="20"/>
                <w:szCs w:val="20"/>
              </w:rPr>
              <w:t>Income (loss) before income taxes</w:t>
            </w:r>
          </w:p>
        </w:tc>
        <w:tc>
          <w:tcPr>
            <w:tcW w:w="50" w:type="pct"/>
            <w:tcMar>
              <w:top w:w="5" w:type="dxa"/>
              <w:left w:w="5" w:type="dxa"/>
              <w:bottom w:w="5" w:type="dxa"/>
              <w:right w:w="5" w:type="dxa"/>
            </w:tcMar>
            <w:vAlign w:val="bottom"/>
            <w:hideMark/>
          </w:tcPr>
          <w:p w14:paraId="3FA67394"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6FACBCEB"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50D88080" w14:textId="77777777" w:rsidR="00C820B8" w:rsidRPr="0064652A" w:rsidRDefault="008D7FC6">
            <w:pPr>
              <w:jc w:val="right"/>
              <w:rPr>
                <w:color w:val="000000"/>
                <w:sz w:val="20"/>
                <w:szCs w:val="20"/>
              </w:rPr>
            </w:pPr>
            <w:r w:rsidRPr="0064652A">
              <w:rPr>
                <w:b/>
                <w:bCs/>
                <w:color w:val="000000"/>
                <w:sz w:val="20"/>
                <w:szCs w:val="20"/>
              </w:rPr>
              <w:t>(435</w:t>
            </w:r>
          </w:p>
        </w:tc>
        <w:tc>
          <w:tcPr>
            <w:tcW w:w="50" w:type="pct"/>
            <w:noWrap/>
            <w:tcMar>
              <w:top w:w="5" w:type="dxa"/>
              <w:left w:w="5" w:type="dxa"/>
              <w:bottom w:w="5" w:type="dxa"/>
              <w:right w:w="5" w:type="dxa"/>
            </w:tcMar>
            <w:vAlign w:val="bottom"/>
            <w:hideMark/>
          </w:tcPr>
          <w:p w14:paraId="1CC69587" w14:textId="77777777" w:rsidR="00C820B8" w:rsidRPr="0064652A" w:rsidRDefault="008D7FC6">
            <w:pPr>
              <w:rPr>
                <w:color w:val="000000"/>
                <w:sz w:val="20"/>
                <w:szCs w:val="20"/>
              </w:rPr>
            </w:pPr>
            <w:r w:rsidRPr="0064652A">
              <w:rPr>
                <w:b/>
                <w:bCs/>
                <w:color w:val="000000"/>
                <w:sz w:val="20"/>
                <w:szCs w:val="20"/>
              </w:rPr>
              <w:t>)</w:t>
            </w:r>
          </w:p>
        </w:tc>
        <w:tc>
          <w:tcPr>
            <w:tcW w:w="50" w:type="pct"/>
            <w:tcMar>
              <w:top w:w="5" w:type="dxa"/>
              <w:left w:w="5" w:type="dxa"/>
              <w:bottom w:w="5" w:type="dxa"/>
              <w:right w:w="5" w:type="dxa"/>
            </w:tcMar>
            <w:vAlign w:val="bottom"/>
            <w:hideMark/>
          </w:tcPr>
          <w:p w14:paraId="09632C8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CAFA0F1"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38BE00FD" w14:textId="77777777" w:rsidR="00C820B8" w:rsidRPr="0064652A" w:rsidRDefault="008D7FC6">
            <w:pPr>
              <w:jc w:val="right"/>
              <w:rPr>
                <w:color w:val="000000"/>
                <w:sz w:val="20"/>
                <w:szCs w:val="20"/>
              </w:rPr>
            </w:pPr>
            <w:r w:rsidRPr="0064652A">
              <w:rPr>
                <w:b/>
                <w:bCs/>
                <w:color w:val="000000"/>
                <w:sz w:val="20"/>
                <w:szCs w:val="20"/>
              </w:rPr>
              <w:t>(241</w:t>
            </w:r>
          </w:p>
        </w:tc>
        <w:tc>
          <w:tcPr>
            <w:tcW w:w="50" w:type="pct"/>
            <w:noWrap/>
            <w:tcMar>
              <w:top w:w="5" w:type="dxa"/>
              <w:left w:w="5" w:type="dxa"/>
              <w:bottom w:w="5" w:type="dxa"/>
              <w:right w:w="5" w:type="dxa"/>
            </w:tcMar>
            <w:vAlign w:val="bottom"/>
            <w:hideMark/>
          </w:tcPr>
          <w:p w14:paraId="6C38AFAB" w14:textId="77777777" w:rsidR="00C820B8" w:rsidRPr="0064652A" w:rsidRDefault="008D7FC6">
            <w:pPr>
              <w:rPr>
                <w:color w:val="000000"/>
                <w:sz w:val="20"/>
                <w:szCs w:val="20"/>
              </w:rPr>
            </w:pPr>
            <w:r w:rsidRPr="0064652A">
              <w:rPr>
                <w:b/>
                <w:bCs/>
                <w:color w:val="000000"/>
                <w:sz w:val="20"/>
                <w:szCs w:val="20"/>
              </w:rPr>
              <w:t>)</w:t>
            </w:r>
          </w:p>
        </w:tc>
        <w:tc>
          <w:tcPr>
            <w:tcW w:w="50" w:type="pct"/>
            <w:tcMar>
              <w:top w:w="5" w:type="dxa"/>
              <w:left w:w="5" w:type="dxa"/>
              <w:bottom w:w="5" w:type="dxa"/>
              <w:right w:w="5" w:type="dxa"/>
            </w:tcMar>
            <w:vAlign w:val="bottom"/>
            <w:hideMark/>
          </w:tcPr>
          <w:p w14:paraId="55B81115"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11742414"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2F98D7C0" w14:textId="77777777" w:rsidR="00C820B8" w:rsidRPr="0064652A" w:rsidRDefault="008D7FC6">
            <w:pPr>
              <w:jc w:val="right"/>
              <w:rPr>
                <w:color w:val="000000"/>
                <w:sz w:val="20"/>
                <w:szCs w:val="20"/>
              </w:rPr>
            </w:pPr>
            <w:r w:rsidRPr="0064652A">
              <w:rPr>
                <w:b/>
                <w:bCs/>
                <w:color w:val="000000"/>
                <w:sz w:val="20"/>
                <w:szCs w:val="20"/>
              </w:rPr>
              <w:t>1,723</w:t>
            </w:r>
          </w:p>
        </w:tc>
        <w:tc>
          <w:tcPr>
            <w:tcW w:w="50" w:type="pct"/>
            <w:noWrap/>
            <w:tcMar>
              <w:top w:w="5" w:type="dxa"/>
              <w:left w:w="5" w:type="dxa"/>
              <w:bottom w:w="5" w:type="dxa"/>
              <w:right w:w="5" w:type="dxa"/>
            </w:tcMar>
            <w:vAlign w:val="bottom"/>
            <w:hideMark/>
          </w:tcPr>
          <w:p w14:paraId="1599BB57" w14:textId="77777777" w:rsidR="00C820B8" w:rsidRPr="0064652A" w:rsidRDefault="008D7FC6">
            <w:pPr>
              <w:rPr>
                <w:color w:val="000000"/>
                <w:sz w:val="20"/>
                <w:szCs w:val="20"/>
              </w:rPr>
            </w:pPr>
            <w:r w:rsidRPr="0064652A">
              <w:rPr>
                <w:b/>
                <w:bCs/>
                <w:color w:val="000000"/>
                <w:sz w:val="20"/>
                <w:szCs w:val="20"/>
              </w:rPr>
              <w:t> </w:t>
            </w:r>
          </w:p>
        </w:tc>
        <w:tc>
          <w:tcPr>
            <w:tcW w:w="50" w:type="pct"/>
            <w:tcMar>
              <w:top w:w="5" w:type="dxa"/>
              <w:left w:w="5" w:type="dxa"/>
              <w:bottom w:w="5" w:type="dxa"/>
              <w:right w:w="5" w:type="dxa"/>
            </w:tcMar>
            <w:vAlign w:val="bottom"/>
            <w:hideMark/>
          </w:tcPr>
          <w:p w14:paraId="45B4C33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42B2AB57" w14:textId="77777777" w:rsidR="00C820B8" w:rsidRPr="0064652A" w:rsidRDefault="008D7FC6">
            <w:pPr>
              <w:rPr>
                <w:color w:val="000000"/>
                <w:sz w:val="20"/>
                <w:szCs w:val="20"/>
              </w:rPr>
            </w:pPr>
            <w:r w:rsidRPr="0064652A">
              <w:rPr>
                <w:color w:val="000000"/>
                <w:sz w:val="20"/>
                <w:szCs w:val="20"/>
              </w:rPr>
              <w:t> </w:t>
            </w:r>
          </w:p>
        </w:tc>
        <w:tc>
          <w:tcPr>
            <w:tcW w:w="500" w:type="pct"/>
            <w:tcMar>
              <w:top w:w="5" w:type="dxa"/>
              <w:left w:w="5" w:type="dxa"/>
              <w:bottom w:w="5" w:type="dxa"/>
              <w:right w:w="5" w:type="dxa"/>
            </w:tcMar>
            <w:vAlign w:val="bottom"/>
            <w:hideMark/>
          </w:tcPr>
          <w:p w14:paraId="5B63FA93" w14:textId="77777777" w:rsidR="00C820B8" w:rsidRPr="0064652A" w:rsidRDefault="008D7FC6">
            <w:pPr>
              <w:jc w:val="right"/>
              <w:rPr>
                <w:color w:val="000000"/>
                <w:sz w:val="20"/>
                <w:szCs w:val="20"/>
              </w:rPr>
            </w:pPr>
            <w:r w:rsidRPr="0064652A">
              <w:rPr>
                <w:b/>
                <w:bCs/>
                <w:color w:val="000000"/>
                <w:sz w:val="20"/>
                <w:szCs w:val="20"/>
              </w:rPr>
              <w:t>(1,471</w:t>
            </w:r>
          </w:p>
        </w:tc>
        <w:tc>
          <w:tcPr>
            <w:tcW w:w="50" w:type="pct"/>
            <w:noWrap/>
            <w:tcMar>
              <w:top w:w="5" w:type="dxa"/>
              <w:left w:w="5" w:type="dxa"/>
              <w:bottom w:w="5" w:type="dxa"/>
              <w:right w:w="5" w:type="dxa"/>
            </w:tcMar>
            <w:vAlign w:val="bottom"/>
            <w:hideMark/>
          </w:tcPr>
          <w:p w14:paraId="2590CEAB" w14:textId="77777777" w:rsidR="00C820B8" w:rsidRPr="0064652A" w:rsidRDefault="008D7FC6">
            <w:pPr>
              <w:rPr>
                <w:color w:val="000000"/>
                <w:sz w:val="20"/>
                <w:szCs w:val="20"/>
              </w:rPr>
            </w:pPr>
            <w:r w:rsidRPr="0064652A">
              <w:rPr>
                <w:b/>
                <w:bCs/>
                <w:color w:val="000000"/>
                <w:sz w:val="20"/>
                <w:szCs w:val="20"/>
              </w:rPr>
              <w:t>)</w:t>
            </w:r>
          </w:p>
        </w:tc>
      </w:tr>
      <w:tr w:rsidR="00C820B8" w:rsidRPr="0064652A" w14:paraId="173469C4" w14:textId="77777777">
        <w:tc>
          <w:tcPr>
            <w:tcW w:w="0" w:type="auto"/>
            <w:tcMar>
              <w:top w:w="5" w:type="dxa"/>
              <w:left w:w="5" w:type="dxa"/>
              <w:bottom w:w="5" w:type="dxa"/>
              <w:right w:w="5" w:type="dxa"/>
            </w:tcMar>
            <w:vAlign w:val="bottom"/>
            <w:hideMark/>
          </w:tcPr>
          <w:p w14:paraId="42B37289" w14:textId="77777777" w:rsidR="00C820B8" w:rsidRPr="0064652A" w:rsidRDefault="008D7FC6">
            <w:pPr>
              <w:rPr>
                <w:color w:val="000000"/>
                <w:sz w:val="20"/>
                <w:szCs w:val="20"/>
              </w:rPr>
            </w:pPr>
            <w:r w:rsidRPr="0064652A">
              <w:rPr>
                <w:color w:val="000000"/>
                <w:sz w:val="20"/>
                <w:szCs w:val="20"/>
              </w:rPr>
              <w:t>Provision for income taxes</w:t>
            </w:r>
          </w:p>
        </w:tc>
        <w:tc>
          <w:tcPr>
            <w:tcW w:w="50" w:type="pct"/>
            <w:tcMar>
              <w:top w:w="5" w:type="dxa"/>
              <w:left w:w="5" w:type="dxa"/>
              <w:bottom w:w="5" w:type="dxa"/>
              <w:right w:w="5" w:type="dxa"/>
            </w:tcMar>
            <w:vAlign w:val="bottom"/>
            <w:hideMark/>
          </w:tcPr>
          <w:p w14:paraId="793DD605"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4487F5E"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7C4B153B" w14:textId="77777777" w:rsidR="00C820B8" w:rsidRPr="0064652A" w:rsidRDefault="008D7FC6">
            <w:pPr>
              <w:jc w:val="right"/>
              <w:rPr>
                <w:color w:val="000000"/>
                <w:sz w:val="20"/>
                <w:szCs w:val="20"/>
              </w:rPr>
            </w:pPr>
            <w:r w:rsidRPr="0064652A">
              <w:rPr>
                <w:color w:val="000000"/>
                <w:sz w:val="20"/>
                <w:szCs w:val="20"/>
              </w:rPr>
              <w:t>(14</w:t>
            </w:r>
          </w:p>
        </w:tc>
        <w:tc>
          <w:tcPr>
            <w:tcW w:w="50" w:type="pct"/>
            <w:noWrap/>
            <w:tcMar>
              <w:top w:w="5" w:type="dxa"/>
              <w:left w:w="5" w:type="dxa"/>
              <w:bottom w:w="20" w:type="dxa"/>
              <w:right w:w="5" w:type="dxa"/>
            </w:tcMar>
            <w:vAlign w:val="bottom"/>
            <w:hideMark/>
          </w:tcPr>
          <w:p w14:paraId="677A81B3" w14:textId="77777777" w:rsidR="00C820B8" w:rsidRPr="0064652A" w:rsidRDefault="008D7FC6">
            <w:pPr>
              <w:rPr>
                <w:color w:val="000000"/>
                <w:sz w:val="20"/>
                <w:szCs w:val="20"/>
              </w:rPr>
            </w:pPr>
            <w:r w:rsidRPr="0064652A">
              <w:rPr>
                <w:color w:val="000000"/>
                <w:sz w:val="20"/>
                <w:szCs w:val="20"/>
              </w:rPr>
              <w:t>)</w:t>
            </w:r>
          </w:p>
        </w:tc>
        <w:tc>
          <w:tcPr>
            <w:tcW w:w="50" w:type="pct"/>
            <w:tcMar>
              <w:top w:w="5" w:type="dxa"/>
              <w:left w:w="5" w:type="dxa"/>
              <w:bottom w:w="5" w:type="dxa"/>
              <w:right w:w="5" w:type="dxa"/>
            </w:tcMar>
            <w:vAlign w:val="bottom"/>
            <w:hideMark/>
          </w:tcPr>
          <w:p w14:paraId="61CEA73D"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FF2A8A0"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2B3BD752"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31C02C6C"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3474F796"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64B12DB"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091F1B7A" w14:textId="77777777" w:rsidR="00C820B8" w:rsidRPr="0064652A" w:rsidRDefault="008D7FC6">
            <w:pPr>
              <w:jc w:val="right"/>
              <w:rPr>
                <w:color w:val="000000"/>
                <w:sz w:val="20"/>
                <w:szCs w:val="20"/>
              </w:rPr>
            </w:pPr>
            <w:r w:rsidRPr="0064652A">
              <w:rPr>
                <w:color w:val="000000"/>
                <w:sz w:val="20"/>
                <w:szCs w:val="20"/>
              </w:rPr>
              <w:t>74</w:t>
            </w:r>
          </w:p>
        </w:tc>
        <w:tc>
          <w:tcPr>
            <w:tcW w:w="50" w:type="pct"/>
            <w:noWrap/>
            <w:tcMar>
              <w:top w:w="5" w:type="dxa"/>
              <w:left w:w="5" w:type="dxa"/>
              <w:bottom w:w="20" w:type="dxa"/>
              <w:right w:w="5" w:type="dxa"/>
            </w:tcMar>
            <w:vAlign w:val="bottom"/>
            <w:hideMark/>
          </w:tcPr>
          <w:p w14:paraId="096DC87A" w14:textId="77777777" w:rsidR="00C820B8" w:rsidRPr="0064652A" w:rsidRDefault="008D7FC6">
            <w:pPr>
              <w:rPr>
                <w:color w:val="000000"/>
                <w:sz w:val="20"/>
                <w:szCs w:val="20"/>
              </w:rPr>
            </w:pPr>
            <w:r w:rsidRPr="0064652A">
              <w:rPr>
                <w:color w:val="000000"/>
                <w:sz w:val="20"/>
                <w:szCs w:val="20"/>
              </w:rPr>
              <w:t> </w:t>
            </w:r>
          </w:p>
        </w:tc>
        <w:tc>
          <w:tcPr>
            <w:tcW w:w="50" w:type="pct"/>
            <w:tcMar>
              <w:top w:w="5" w:type="dxa"/>
              <w:left w:w="5" w:type="dxa"/>
              <w:bottom w:w="5" w:type="dxa"/>
              <w:right w:w="5" w:type="dxa"/>
            </w:tcMar>
            <w:vAlign w:val="bottom"/>
            <w:hideMark/>
          </w:tcPr>
          <w:p w14:paraId="53B0A9CA" w14:textId="77777777" w:rsidR="00C820B8" w:rsidRPr="0064652A" w:rsidRDefault="008D7FC6">
            <w:pPr>
              <w:rPr>
                <w:color w:val="000000"/>
                <w:sz w:val="20"/>
                <w:szCs w:val="20"/>
              </w:rPr>
            </w:pPr>
            <w:r w:rsidRPr="0064652A">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B6E9070" w14:textId="77777777" w:rsidR="00C820B8" w:rsidRPr="0064652A" w:rsidRDefault="008D7FC6">
            <w:pPr>
              <w:rPr>
                <w:color w:val="000000"/>
                <w:sz w:val="20"/>
                <w:szCs w:val="20"/>
              </w:rPr>
            </w:pPr>
            <w:r w:rsidRPr="0064652A">
              <w:rPr>
                <w:color w:val="000000"/>
                <w:sz w:val="20"/>
                <w:szCs w:val="20"/>
              </w:rPr>
              <w:t> </w:t>
            </w:r>
          </w:p>
        </w:tc>
        <w:tc>
          <w:tcPr>
            <w:tcW w:w="500" w:type="pct"/>
            <w:tcBorders>
              <w:bottom w:val="single" w:sz="6" w:space="0" w:color="000000"/>
            </w:tcBorders>
            <w:tcMar>
              <w:top w:w="5" w:type="dxa"/>
              <w:left w:w="5" w:type="dxa"/>
              <w:bottom w:w="8" w:type="dxa"/>
              <w:right w:w="5" w:type="dxa"/>
            </w:tcMar>
            <w:vAlign w:val="bottom"/>
            <w:hideMark/>
          </w:tcPr>
          <w:p w14:paraId="1BA7DB4D" w14:textId="77777777" w:rsidR="00C820B8" w:rsidRPr="0064652A" w:rsidRDefault="008D7FC6">
            <w:pPr>
              <w:jc w:val="right"/>
              <w:rPr>
                <w:color w:val="000000"/>
                <w:sz w:val="20"/>
                <w:szCs w:val="20"/>
              </w:rPr>
            </w:pPr>
            <w:r w:rsidRPr="0064652A">
              <w:rPr>
                <w:color w:val="000000"/>
                <w:sz w:val="20"/>
                <w:szCs w:val="20"/>
              </w:rPr>
              <w:t>—</w:t>
            </w:r>
          </w:p>
        </w:tc>
        <w:tc>
          <w:tcPr>
            <w:tcW w:w="50" w:type="pct"/>
            <w:noWrap/>
            <w:tcMar>
              <w:top w:w="5" w:type="dxa"/>
              <w:left w:w="5" w:type="dxa"/>
              <w:bottom w:w="20" w:type="dxa"/>
              <w:right w:w="5" w:type="dxa"/>
            </w:tcMar>
            <w:vAlign w:val="bottom"/>
            <w:hideMark/>
          </w:tcPr>
          <w:p w14:paraId="1194DECF" w14:textId="77777777" w:rsidR="00C820B8" w:rsidRPr="0064652A" w:rsidRDefault="008D7FC6">
            <w:pPr>
              <w:rPr>
                <w:color w:val="000000"/>
                <w:sz w:val="20"/>
                <w:szCs w:val="20"/>
              </w:rPr>
            </w:pPr>
            <w:r w:rsidRPr="0064652A">
              <w:rPr>
                <w:color w:val="000000"/>
                <w:sz w:val="20"/>
                <w:szCs w:val="20"/>
              </w:rPr>
              <w:t> </w:t>
            </w:r>
          </w:p>
        </w:tc>
      </w:tr>
      <w:tr w:rsidR="00C820B8" w:rsidRPr="0064652A" w14:paraId="08F595A5" w14:textId="77777777">
        <w:tc>
          <w:tcPr>
            <w:tcW w:w="0" w:type="auto"/>
            <w:tcMar>
              <w:top w:w="5" w:type="dxa"/>
              <w:left w:w="5" w:type="dxa"/>
              <w:bottom w:w="5" w:type="dxa"/>
              <w:right w:w="5" w:type="dxa"/>
            </w:tcMar>
            <w:vAlign w:val="bottom"/>
            <w:hideMark/>
          </w:tcPr>
          <w:p w14:paraId="50CA5161" w14:textId="77777777" w:rsidR="00C820B8" w:rsidRPr="0064652A" w:rsidRDefault="008D7FC6">
            <w:pPr>
              <w:rPr>
                <w:color w:val="000000"/>
                <w:sz w:val="20"/>
                <w:szCs w:val="20"/>
              </w:rPr>
            </w:pPr>
            <w:r w:rsidRPr="0064652A">
              <w:rPr>
                <w:b/>
                <w:bCs/>
                <w:color w:val="000000"/>
                <w:sz w:val="20"/>
                <w:szCs w:val="20"/>
              </w:rPr>
              <w:t>Net income (loss)</w:t>
            </w:r>
          </w:p>
        </w:tc>
        <w:tc>
          <w:tcPr>
            <w:tcW w:w="50" w:type="pct"/>
            <w:tcMar>
              <w:top w:w="5" w:type="dxa"/>
              <w:left w:w="5" w:type="dxa"/>
              <w:bottom w:w="50" w:type="dxa"/>
              <w:right w:w="5" w:type="dxa"/>
            </w:tcMar>
            <w:vAlign w:val="bottom"/>
            <w:hideMark/>
          </w:tcPr>
          <w:p w14:paraId="7CA0D385"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0DF9AFD" w14:textId="77777777" w:rsidR="00C820B8" w:rsidRPr="0064652A" w:rsidRDefault="008D7FC6">
            <w:pPr>
              <w:rPr>
                <w:color w:val="000000"/>
                <w:sz w:val="20"/>
                <w:szCs w:val="20"/>
              </w:rPr>
            </w:pPr>
            <w:r w:rsidRPr="0064652A">
              <w:rPr>
                <w:color w:val="000000"/>
                <w:sz w:val="20"/>
                <w:szCs w:val="20"/>
              </w:rPr>
              <w:t>$</w:t>
            </w:r>
          </w:p>
        </w:tc>
        <w:tc>
          <w:tcPr>
            <w:tcW w:w="500" w:type="pct"/>
            <w:tcBorders>
              <w:bottom w:val="double" w:sz="6" w:space="0" w:color="000000"/>
            </w:tcBorders>
            <w:tcMar>
              <w:top w:w="5" w:type="dxa"/>
              <w:left w:w="5" w:type="dxa"/>
              <w:bottom w:w="22" w:type="dxa"/>
              <w:right w:w="5" w:type="dxa"/>
            </w:tcMar>
            <w:vAlign w:val="bottom"/>
            <w:hideMark/>
          </w:tcPr>
          <w:p w14:paraId="5D49B78C" w14:textId="77777777" w:rsidR="00C820B8" w:rsidRPr="0064652A" w:rsidRDefault="008D7FC6">
            <w:pPr>
              <w:jc w:val="right"/>
              <w:rPr>
                <w:color w:val="000000"/>
                <w:sz w:val="20"/>
                <w:szCs w:val="20"/>
              </w:rPr>
            </w:pPr>
            <w:r w:rsidRPr="0064652A">
              <w:rPr>
                <w:b/>
                <w:bCs/>
                <w:color w:val="000000"/>
                <w:sz w:val="20"/>
                <w:szCs w:val="20"/>
              </w:rPr>
              <w:t>(421</w:t>
            </w:r>
          </w:p>
        </w:tc>
        <w:tc>
          <w:tcPr>
            <w:tcW w:w="50" w:type="pct"/>
            <w:noWrap/>
            <w:tcMar>
              <w:top w:w="5" w:type="dxa"/>
              <w:left w:w="5" w:type="dxa"/>
              <w:bottom w:w="50" w:type="dxa"/>
              <w:right w:w="5" w:type="dxa"/>
            </w:tcMar>
            <w:vAlign w:val="bottom"/>
            <w:hideMark/>
          </w:tcPr>
          <w:p w14:paraId="70135551" w14:textId="77777777" w:rsidR="00C820B8" w:rsidRPr="0064652A" w:rsidRDefault="008D7FC6">
            <w:pPr>
              <w:rPr>
                <w:color w:val="000000"/>
                <w:sz w:val="20"/>
                <w:szCs w:val="20"/>
              </w:rPr>
            </w:pPr>
            <w:r w:rsidRPr="0064652A">
              <w:rPr>
                <w:b/>
                <w:bCs/>
                <w:color w:val="000000"/>
                <w:sz w:val="20"/>
                <w:szCs w:val="20"/>
              </w:rPr>
              <w:t>)</w:t>
            </w:r>
          </w:p>
        </w:tc>
        <w:tc>
          <w:tcPr>
            <w:tcW w:w="50" w:type="pct"/>
            <w:tcMar>
              <w:top w:w="5" w:type="dxa"/>
              <w:left w:w="5" w:type="dxa"/>
              <w:bottom w:w="50" w:type="dxa"/>
              <w:right w:w="5" w:type="dxa"/>
            </w:tcMar>
            <w:vAlign w:val="bottom"/>
            <w:hideMark/>
          </w:tcPr>
          <w:p w14:paraId="30BCEE00"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B034D4A" w14:textId="77777777" w:rsidR="00C820B8" w:rsidRPr="0064652A" w:rsidRDefault="008D7FC6">
            <w:pPr>
              <w:rPr>
                <w:color w:val="000000"/>
                <w:sz w:val="20"/>
                <w:szCs w:val="20"/>
              </w:rPr>
            </w:pPr>
            <w:r w:rsidRPr="0064652A">
              <w:rPr>
                <w:color w:val="000000"/>
                <w:sz w:val="20"/>
                <w:szCs w:val="20"/>
              </w:rPr>
              <w:t>$</w:t>
            </w:r>
          </w:p>
        </w:tc>
        <w:tc>
          <w:tcPr>
            <w:tcW w:w="500" w:type="pct"/>
            <w:tcBorders>
              <w:bottom w:val="double" w:sz="6" w:space="0" w:color="000000"/>
            </w:tcBorders>
            <w:tcMar>
              <w:top w:w="5" w:type="dxa"/>
              <w:left w:w="5" w:type="dxa"/>
              <w:bottom w:w="22" w:type="dxa"/>
              <w:right w:w="5" w:type="dxa"/>
            </w:tcMar>
            <w:vAlign w:val="bottom"/>
            <w:hideMark/>
          </w:tcPr>
          <w:p w14:paraId="28B9012D" w14:textId="77777777" w:rsidR="00C820B8" w:rsidRPr="0064652A" w:rsidRDefault="008D7FC6">
            <w:pPr>
              <w:jc w:val="right"/>
              <w:rPr>
                <w:color w:val="000000"/>
                <w:sz w:val="20"/>
                <w:szCs w:val="20"/>
              </w:rPr>
            </w:pPr>
            <w:r w:rsidRPr="0064652A">
              <w:rPr>
                <w:b/>
                <w:bCs/>
                <w:color w:val="000000"/>
                <w:sz w:val="20"/>
                <w:szCs w:val="20"/>
              </w:rPr>
              <w:t>(241</w:t>
            </w:r>
          </w:p>
        </w:tc>
        <w:tc>
          <w:tcPr>
            <w:tcW w:w="50" w:type="pct"/>
            <w:noWrap/>
            <w:tcMar>
              <w:top w:w="5" w:type="dxa"/>
              <w:left w:w="5" w:type="dxa"/>
              <w:bottom w:w="50" w:type="dxa"/>
              <w:right w:w="5" w:type="dxa"/>
            </w:tcMar>
            <w:vAlign w:val="bottom"/>
            <w:hideMark/>
          </w:tcPr>
          <w:p w14:paraId="5C6EE766" w14:textId="77777777" w:rsidR="00C820B8" w:rsidRPr="0064652A" w:rsidRDefault="008D7FC6">
            <w:pPr>
              <w:rPr>
                <w:color w:val="000000"/>
                <w:sz w:val="20"/>
                <w:szCs w:val="20"/>
              </w:rPr>
            </w:pPr>
            <w:r w:rsidRPr="0064652A">
              <w:rPr>
                <w:b/>
                <w:bCs/>
                <w:color w:val="000000"/>
                <w:sz w:val="20"/>
                <w:szCs w:val="20"/>
              </w:rPr>
              <w:t>)</w:t>
            </w:r>
          </w:p>
        </w:tc>
        <w:tc>
          <w:tcPr>
            <w:tcW w:w="50" w:type="pct"/>
            <w:tcMar>
              <w:top w:w="5" w:type="dxa"/>
              <w:left w:w="5" w:type="dxa"/>
              <w:bottom w:w="50" w:type="dxa"/>
              <w:right w:w="5" w:type="dxa"/>
            </w:tcMar>
            <w:vAlign w:val="bottom"/>
            <w:hideMark/>
          </w:tcPr>
          <w:p w14:paraId="25B01BE8"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02B63AD" w14:textId="77777777" w:rsidR="00C820B8" w:rsidRPr="0064652A" w:rsidRDefault="008D7FC6">
            <w:pPr>
              <w:rPr>
                <w:color w:val="000000"/>
                <w:sz w:val="20"/>
                <w:szCs w:val="20"/>
              </w:rPr>
            </w:pPr>
            <w:r w:rsidRPr="0064652A">
              <w:rPr>
                <w:color w:val="000000"/>
                <w:sz w:val="20"/>
                <w:szCs w:val="20"/>
              </w:rPr>
              <w:t>$</w:t>
            </w:r>
          </w:p>
        </w:tc>
        <w:tc>
          <w:tcPr>
            <w:tcW w:w="500" w:type="pct"/>
            <w:tcBorders>
              <w:bottom w:val="double" w:sz="6" w:space="0" w:color="000000"/>
            </w:tcBorders>
            <w:tcMar>
              <w:top w:w="5" w:type="dxa"/>
              <w:left w:w="5" w:type="dxa"/>
              <w:bottom w:w="22" w:type="dxa"/>
              <w:right w:w="5" w:type="dxa"/>
            </w:tcMar>
            <w:vAlign w:val="bottom"/>
            <w:hideMark/>
          </w:tcPr>
          <w:p w14:paraId="4B9BE03A" w14:textId="77777777" w:rsidR="00C820B8" w:rsidRPr="0064652A" w:rsidRDefault="008D7FC6">
            <w:pPr>
              <w:jc w:val="right"/>
              <w:rPr>
                <w:color w:val="000000"/>
                <w:sz w:val="20"/>
                <w:szCs w:val="20"/>
              </w:rPr>
            </w:pPr>
            <w:r w:rsidRPr="0064652A">
              <w:rPr>
                <w:b/>
                <w:bCs/>
                <w:color w:val="000000"/>
                <w:sz w:val="20"/>
                <w:szCs w:val="20"/>
              </w:rPr>
              <w:t>1,649</w:t>
            </w:r>
          </w:p>
        </w:tc>
        <w:tc>
          <w:tcPr>
            <w:tcW w:w="50" w:type="pct"/>
            <w:noWrap/>
            <w:tcMar>
              <w:top w:w="5" w:type="dxa"/>
              <w:left w:w="5" w:type="dxa"/>
              <w:bottom w:w="50" w:type="dxa"/>
              <w:right w:w="5" w:type="dxa"/>
            </w:tcMar>
            <w:vAlign w:val="bottom"/>
            <w:hideMark/>
          </w:tcPr>
          <w:p w14:paraId="35F5FEFE" w14:textId="77777777" w:rsidR="00C820B8" w:rsidRPr="0064652A" w:rsidRDefault="008D7FC6">
            <w:pPr>
              <w:rPr>
                <w:color w:val="000000"/>
                <w:sz w:val="20"/>
                <w:szCs w:val="20"/>
              </w:rPr>
            </w:pPr>
            <w:r w:rsidRPr="0064652A">
              <w:rPr>
                <w:b/>
                <w:bCs/>
                <w:color w:val="000000"/>
                <w:sz w:val="20"/>
                <w:szCs w:val="20"/>
              </w:rPr>
              <w:t> </w:t>
            </w:r>
          </w:p>
        </w:tc>
        <w:tc>
          <w:tcPr>
            <w:tcW w:w="50" w:type="pct"/>
            <w:tcMar>
              <w:top w:w="5" w:type="dxa"/>
              <w:left w:w="5" w:type="dxa"/>
              <w:bottom w:w="50" w:type="dxa"/>
              <w:right w:w="5" w:type="dxa"/>
            </w:tcMar>
            <w:vAlign w:val="bottom"/>
            <w:hideMark/>
          </w:tcPr>
          <w:p w14:paraId="39441BA8" w14:textId="77777777" w:rsidR="00C820B8" w:rsidRPr="0064652A" w:rsidRDefault="008D7FC6">
            <w:pPr>
              <w:rPr>
                <w:color w:val="000000"/>
                <w:sz w:val="20"/>
                <w:szCs w:val="20"/>
              </w:rPr>
            </w:pPr>
            <w:r w:rsidRPr="0064652A">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4E5DD84" w14:textId="77777777" w:rsidR="00C820B8" w:rsidRPr="0064652A" w:rsidRDefault="008D7FC6">
            <w:pPr>
              <w:rPr>
                <w:color w:val="000000"/>
                <w:sz w:val="20"/>
                <w:szCs w:val="20"/>
              </w:rPr>
            </w:pPr>
            <w:r w:rsidRPr="0064652A">
              <w:rPr>
                <w:color w:val="000000"/>
                <w:sz w:val="20"/>
                <w:szCs w:val="20"/>
              </w:rPr>
              <w:t>$</w:t>
            </w:r>
          </w:p>
        </w:tc>
        <w:tc>
          <w:tcPr>
            <w:tcW w:w="500" w:type="pct"/>
            <w:tcBorders>
              <w:bottom w:val="double" w:sz="6" w:space="0" w:color="000000"/>
            </w:tcBorders>
            <w:tcMar>
              <w:top w:w="5" w:type="dxa"/>
              <w:left w:w="5" w:type="dxa"/>
              <w:bottom w:w="22" w:type="dxa"/>
              <w:right w:w="5" w:type="dxa"/>
            </w:tcMar>
            <w:vAlign w:val="bottom"/>
            <w:hideMark/>
          </w:tcPr>
          <w:p w14:paraId="016FD07F" w14:textId="77777777" w:rsidR="00C820B8" w:rsidRPr="0064652A" w:rsidRDefault="008D7FC6">
            <w:pPr>
              <w:jc w:val="right"/>
              <w:rPr>
                <w:color w:val="000000"/>
                <w:sz w:val="20"/>
                <w:szCs w:val="20"/>
              </w:rPr>
            </w:pPr>
            <w:r w:rsidRPr="0064652A">
              <w:rPr>
                <w:b/>
                <w:bCs/>
                <w:color w:val="000000"/>
                <w:sz w:val="20"/>
                <w:szCs w:val="20"/>
              </w:rPr>
              <w:t>(1,471</w:t>
            </w:r>
          </w:p>
        </w:tc>
        <w:tc>
          <w:tcPr>
            <w:tcW w:w="50" w:type="pct"/>
            <w:noWrap/>
            <w:tcMar>
              <w:top w:w="5" w:type="dxa"/>
              <w:left w:w="5" w:type="dxa"/>
              <w:bottom w:w="50" w:type="dxa"/>
              <w:right w:w="5" w:type="dxa"/>
            </w:tcMar>
            <w:vAlign w:val="bottom"/>
            <w:hideMark/>
          </w:tcPr>
          <w:p w14:paraId="399E4CD0" w14:textId="77777777" w:rsidR="00C820B8" w:rsidRPr="0064652A" w:rsidRDefault="008D7FC6">
            <w:pPr>
              <w:rPr>
                <w:color w:val="000000"/>
                <w:sz w:val="20"/>
                <w:szCs w:val="20"/>
              </w:rPr>
            </w:pPr>
            <w:r w:rsidRPr="0064652A">
              <w:rPr>
                <w:b/>
                <w:bCs/>
                <w:color w:val="000000"/>
                <w:sz w:val="20"/>
                <w:szCs w:val="20"/>
              </w:rPr>
              <w:t>)</w:t>
            </w:r>
          </w:p>
        </w:tc>
      </w:tr>
    </w:tbl>
    <w:p w14:paraId="507A7DDB" w14:textId="77777777" w:rsidR="00C820B8" w:rsidRPr="0064652A" w:rsidRDefault="008D7FC6">
      <w:pPr>
        <w:ind w:firstLine="500"/>
        <w:rPr>
          <w:sz w:val="20"/>
          <w:szCs w:val="20"/>
        </w:rPr>
      </w:pPr>
      <w:r w:rsidRPr="0064652A">
        <w:rPr>
          <w:sz w:val="20"/>
          <w:szCs w:val="20"/>
        </w:rPr>
        <w:t> </w:t>
      </w:r>
    </w:p>
    <w:p w14:paraId="063B2D21" w14:textId="77777777" w:rsidR="00C820B8" w:rsidRPr="0064652A" w:rsidRDefault="008D7FC6">
      <w:pPr>
        <w:ind w:firstLine="500"/>
        <w:rPr>
          <w:sz w:val="20"/>
          <w:szCs w:val="20"/>
        </w:rPr>
      </w:pPr>
      <w:r w:rsidRPr="0064652A">
        <w:rPr>
          <w:b/>
          <w:bCs/>
          <w:i/>
          <w:iCs/>
          <w:sz w:val="20"/>
          <w:szCs w:val="20"/>
          <w:u w:val="single"/>
        </w:rPr>
        <w:t>Net product sales</w:t>
      </w:r>
      <w:r w:rsidRPr="0064652A">
        <w:rPr>
          <w:sz w:val="20"/>
          <w:szCs w:val="20"/>
        </w:rPr>
        <w:t xml:space="preserve"> — Net product sales for the three month period </w:t>
      </w:r>
      <w:r w:rsidRPr="0064652A">
        <w:rPr>
          <w:sz w:val="20"/>
          <w:szCs w:val="20"/>
          <w:shd w:val="clear" w:color="auto" w:fill="FFFFFF"/>
        </w:rPr>
        <w:t xml:space="preserve">ended </w:t>
      </w:r>
      <w:r w:rsidRPr="0064652A">
        <w:rPr>
          <w:sz w:val="20"/>
          <w:szCs w:val="20"/>
        </w:rPr>
        <w:t>December 31, 2023</w:t>
      </w:r>
      <w:r w:rsidRPr="0064652A">
        <w:rPr>
          <w:sz w:val="20"/>
          <w:szCs w:val="20"/>
          <w:shd w:val="clear" w:color="auto" w:fill="FFFFFF"/>
        </w:rPr>
        <w:t xml:space="preserve"> were $2.6 million as compared to $1.7 million for the three month period ended </w:t>
      </w:r>
      <w:bookmarkStart w:id="24" w:name="led288631F2022881662679857425"/>
      <w:r w:rsidRPr="0064652A">
        <w:rPr>
          <w:sz w:val="20"/>
          <w:szCs w:val="20"/>
        </w:rPr>
        <w:t>December 31, 2022</w:t>
      </w:r>
      <w:r w:rsidRPr="0064652A">
        <w:rPr>
          <w:sz w:val="20"/>
          <w:szCs w:val="20"/>
          <w:shd w:val="clear" w:color="auto" w:fill="FFFFFF"/>
        </w:rPr>
        <w:t xml:space="preserve">, an increase of $0.9 million, or 52.5%. The Company’s sales during the three month periods ended </w:t>
      </w:r>
      <w:r w:rsidRPr="0064652A">
        <w:rPr>
          <w:sz w:val="20"/>
          <w:szCs w:val="20"/>
        </w:rPr>
        <w:t>December 31, 2023</w:t>
      </w:r>
      <w:r w:rsidRPr="0064652A">
        <w:rPr>
          <w:sz w:val="20"/>
          <w:szCs w:val="20"/>
          <w:shd w:val="clear" w:color="auto" w:fill="FFFFFF"/>
        </w:rPr>
        <w:t xml:space="preserve"> and </w:t>
      </w:r>
      <w:bookmarkStart w:id="25" w:name="led288631F2022881662679873070"/>
      <w:r w:rsidRPr="0064652A">
        <w:rPr>
          <w:sz w:val="20"/>
          <w:szCs w:val="20"/>
        </w:rPr>
        <w:t xml:space="preserve">December 31, 2022 </w:t>
      </w:r>
      <w:r w:rsidRPr="0064652A">
        <w:rPr>
          <w:sz w:val="20"/>
          <w:szCs w:val="20"/>
          <w:shd w:val="clear" w:color="auto" w:fill="FFFFFF"/>
        </w:rPr>
        <w:t xml:space="preserve">were highly concentrated among the Company’s two largest customers – Wal-Mart and Amazon – comprising in the aggregate approximately 85% and 95%, respectively, of the Company’s total net product sales for such periods. </w:t>
      </w:r>
    </w:p>
    <w:p w14:paraId="273EF40D" w14:textId="77777777" w:rsidR="00C820B8" w:rsidRPr="0064652A" w:rsidRDefault="008D7FC6">
      <w:pPr>
        <w:ind w:firstLine="500"/>
        <w:rPr>
          <w:sz w:val="20"/>
          <w:szCs w:val="20"/>
        </w:rPr>
      </w:pPr>
      <w:r w:rsidRPr="0064652A">
        <w:rPr>
          <w:sz w:val="20"/>
          <w:szCs w:val="20"/>
        </w:rPr>
        <w:t> </w:t>
      </w:r>
    </w:p>
    <w:p w14:paraId="35255EE1" w14:textId="77777777" w:rsidR="00C820B8" w:rsidRPr="0064652A" w:rsidRDefault="008D7FC6">
      <w:pPr>
        <w:ind w:firstLine="500"/>
        <w:rPr>
          <w:sz w:val="20"/>
          <w:szCs w:val="20"/>
        </w:rPr>
      </w:pPr>
      <w:r w:rsidRPr="0064652A">
        <w:rPr>
          <w:sz w:val="20"/>
          <w:szCs w:val="20"/>
        </w:rPr>
        <w:t>Net product sales for the </w:t>
      </w:r>
      <w:bookmarkStart w:id="26" w:name="led288630F20238141694730003387"/>
      <w:r w:rsidRPr="0064652A">
        <w:rPr>
          <w:sz w:val="20"/>
          <w:szCs w:val="20"/>
        </w:rPr>
        <w:t xml:space="preserve">nine month period </w:t>
      </w:r>
      <w:r w:rsidRPr="0064652A">
        <w:rPr>
          <w:sz w:val="20"/>
          <w:szCs w:val="20"/>
          <w:shd w:val="clear" w:color="auto" w:fill="FFFFFF"/>
        </w:rPr>
        <w:t xml:space="preserve">ended </w:t>
      </w:r>
      <w:r w:rsidRPr="0064652A">
        <w:rPr>
          <w:sz w:val="20"/>
          <w:szCs w:val="20"/>
        </w:rPr>
        <w:t>December 31, 2023</w:t>
      </w:r>
      <w:r w:rsidRPr="0064652A">
        <w:rPr>
          <w:sz w:val="20"/>
          <w:szCs w:val="20"/>
          <w:shd w:val="clear" w:color="auto" w:fill="FFFFFF"/>
        </w:rPr>
        <w:t xml:space="preserve"> were $6.7 million as compared to $4.3 million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2022</w:t>
      </w:r>
      <w:bookmarkEnd w:id="24"/>
      <w:r w:rsidRPr="0064652A">
        <w:rPr>
          <w:sz w:val="20"/>
          <w:szCs w:val="20"/>
          <w:shd w:val="clear" w:color="auto" w:fill="FFFFFF"/>
        </w:rPr>
        <w:t xml:space="preserve">, an increase of $2.4 million, or 55.6%. The Company’s sales during the </w:t>
      </w:r>
      <w:r w:rsidRPr="0064652A">
        <w:rPr>
          <w:sz w:val="20"/>
          <w:szCs w:val="20"/>
        </w:rPr>
        <w:t>nine</w:t>
      </w:r>
      <w:r w:rsidRPr="0064652A">
        <w:rPr>
          <w:sz w:val="20"/>
          <w:szCs w:val="20"/>
          <w:shd w:val="clear" w:color="auto" w:fill="FFFFFF"/>
        </w:rPr>
        <w:t xml:space="preserve"> month periods ended </w:t>
      </w:r>
      <w:r w:rsidRPr="0064652A">
        <w:rPr>
          <w:sz w:val="20"/>
          <w:szCs w:val="20"/>
        </w:rPr>
        <w:t>December 31, 2023</w:t>
      </w:r>
      <w:r w:rsidRPr="0064652A">
        <w:rPr>
          <w:sz w:val="20"/>
          <w:szCs w:val="20"/>
          <w:shd w:val="clear" w:color="auto" w:fill="FFFFFF"/>
        </w:rPr>
        <w:t xml:space="preserve"> and </w:t>
      </w:r>
      <w:r w:rsidRPr="0064652A">
        <w:rPr>
          <w:sz w:val="20"/>
          <w:szCs w:val="20"/>
        </w:rPr>
        <w:t>December 31, 2022</w:t>
      </w:r>
      <w:bookmarkEnd w:id="25"/>
      <w:r w:rsidRPr="0064652A">
        <w:rPr>
          <w:sz w:val="20"/>
          <w:szCs w:val="20"/>
          <w:shd w:val="clear" w:color="auto" w:fill="FFFFFF"/>
        </w:rPr>
        <w:t xml:space="preserve"> were highly concentrated among the Company’s three largest customers – Wal-Mart, Amazon and Fred Meyer – comprising in the aggregate approximately 91% of the Company’s total net product sales for both periods. </w:t>
      </w:r>
    </w:p>
    <w:p w14:paraId="75B5B481" w14:textId="77777777" w:rsidR="00C820B8" w:rsidRPr="0064652A" w:rsidRDefault="008D7FC6">
      <w:pPr>
        <w:rPr>
          <w:sz w:val="20"/>
          <w:szCs w:val="20"/>
        </w:rPr>
      </w:pPr>
      <w:r w:rsidRPr="0064652A">
        <w:rPr>
          <w:sz w:val="20"/>
          <w:szCs w:val="20"/>
        </w:rPr>
        <w:t> </w:t>
      </w:r>
    </w:p>
    <w:p w14:paraId="56DA9FBD" w14:textId="77777777" w:rsidR="00C820B8" w:rsidRPr="0064652A" w:rsidRDefault="008D7FC6">
      <w:pPr>
        <w:jc w:val="center"/>
        <w:rPr>
          <w:sz w:val="20"/>
          <w:szCs w:val="20"/>
        </w:rPr>
      </w:pPr>
      <w:r w:rsidRPr="0064652A">
        <w:rPr>
          <w:sz w:val="20"/>
          <w:szCs w:val="20"/>
        </w:rPr>
        <w:t>15</w:t>
      </w:r>
    </w:p>
    <w:p w14:paraId="1C2EFEA3"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51EB790C" w14:textId="77777777" w:rsidR="00C820B8" w:rsidRPr="0064652A" w:rsidRDefault="008D7FC6">
      <w:pPr>
        <w:rPr>
          <w:sz w:val="20"/>
          <w:szCs w:val="20"/>
        </w:rPr>
      </w:pPr>
      <w:r w:rsidRPr="0064652A">
        <w:rPr>
          <w:sz w:val="20"/>
          <w:szCs w:val="20"/>
        </w:rPr>
        <w:t> </w:t>
      </w:r>
    </w:p>
    <w:p w14:paraId="518FA649" w14:textId="77777777" w:rsidR="00C820B8" w:rsidRPr="0064652A" w:rsidRDefault="008D7FC6">
      <w:pPr>
        <w:ind w:firstLine="500"/>
        <w:rPr>
          <w:sz w:val="20"/>
          <w:szCs w:val="20"/>
        </w:rPr>
      </w:pPr>
      <w:r w:rsidRPr="0064652A">
        <w:rPr>
          <w:sz w:val="20"/>
          <w:szCs w:val="20"/>
        </w:rPr>
        <w:t>Net product sales are comprised primarily of the sales of houseware and audio products which bear the Emerson® brand name. Net product sales may be periodically impacted by adjustments made to the Company’s sales allowance and marketing support accrual to record unanticipated customer deductions from accounts receivable or to reduce the accrual by any amounts which were accrued in the past but not taken by customers through deductions from accounts receivable within a certain time period. In</w:t>
      </w:r>
      <w:r w:rsidRPr="0064652A">
        <w:rPr>
          <w:sz w:val="20"/>
          <w:szCs w:val="20"/>
          <w:shd w:val="clear" w:color="auto" w:fill="FFFFFF"/>
        </w:rPr>
        <w:t xml:space="preserve"> the aggregate, these adjustments had the effect of increasing net product sales and operating income by approximately $3,000 and $10,000 for the three month periods ended </w:t>
      </w:r>
      <w:r w:rsidRPr="0064652A">
        <w:rPr>
          <w:sz w:val="20"/>
          <w:szCs w:val="20"/>
        </w:rPr>
        <w:t>December 31, 2023</w:t>
      </w:r>
      <w:r w:rsidRPr="0064652A">
        <w:rPr>
          <w:sz w:val="20"/>
          <w:szCs w:val="20"/>
          <w:shd w:val="clear" w:color="auto" w:fill="FFFFFF"/>
        </w:rPr>
        <w:t xml:space="preserve"> and </w:t>
      </w:r>
      <w:bookmarkStart w:id="27" w:name="led288631F2022881662679930777"/>
      <w:r w:rsidRPr="0064652A">
        <w:rPr>
          <w:sz w:val="20"/>
          <w:szCs w:val="20"/>
        </w:rPr>
        <w:t>December 31, 2022</w:t>
      </w:r>
      <w:r w:rsidRPr="0064652A">
        <w:rPr>
          <w:sz w:val="20"/>
          <w:szCs w:val="20"/>
          <w:shd w:val="clear" w:color="auto" w:fill="FFFFFF"/>
        </w:rPr>
        <w:t xml:space="preserve">, respectively, and by approximately $9,000 and $15,000 for the nine month periods ended </w:t>
      </w:r>
      <w:r w:rsidRPr="0064652A">
        <w:rPr>
          <w:sz w:val="20"/>
          <w:szCs w:val="20"/>
        </w:rPr>
        <w:t>December 31, 2023</w:t>
      </w:r>
      <w:r w:rsidRPr="0064652A">
        <w:rPr>
          <w:sz w:val="20"/>
          <w:szCs w:val="20"/>
          <w:shd w:val="clear" w:color="auto" w:fill="FFFFFF"/>
        </w:rPr>
        <w:t xml:space="preserve"> and </w:t>
      </w:r>
      <w:r w:rsidRPr="0064652A">
        <w:rPr>
          <w:sz w:val="20"/>
          <w:szCs w:val="20"/>
        </w:rPr>
        <w:t>December 31, 2022</w:t>
      </w:r>
      <w:bookmarkEnd w:id="27"/>
      <w:r w:rsidRPr="0064652A">
        <w:rPr>
          <w:sz w:val="20"/>
          <w:szCs w:val="20"/>
          <w:shd w:val="clear" w:color="auto" w:fill="FFFFFF"/>
        </w:rPr>
        <w:t>, respectively. The major elements which contributed to the overall increase in net product sales were as follows:</w:t>
      </w:r>
    </w:p>
    <w:p w14:paraId="0EEB3210" w14:textId="77777777" w:rsidR="00C820B8" w:rsidRPr="0064652A" w:rsidRDefault="008D7FC6">
      <w:pPr>
        <w:rPr>
          <w:sz w:val="20"/>
          <w:szCs w:val="20"/>
        </w:rPr>
      </w:pPr>
      <w:r w:rsidRPr="0064652A">
        <w:rPr>
          <w:sz w:val="20"/>
          <w:szCs w:val="20"/>
        </w:rPr>
        <w:t> </w:t>
      </w:r>
    </w:p>
    <w:p w14:paraId="6FEC46BB" w14:textId="77777777" w:rsidR="00C820B8" w:rsidRPr="0064652A" w:rsidRDefault="008D7FC6">
      <w:pPr>
        <w:ind w:left="2780" w:hanging="2300"/>
        <w:rPr>
          <w:sz w:val="20"/>
          <w:szCs w:val="20"/>
        </w:rPr>
      </w:pPr>
      <w:r w:rsidRPr="0064652A">
        <w:rPr>
          <w:sz w:val="20"/>
          <w:szCs w:val="20"/>
          <w:shd w:val="clear" w:color="auto" w:fill="FFFFFF"/>
        </w:rPr>
        <w:t>i)    </w:t>
      </w:r>
      <w:r w:rsidRPr="0064652A">
        <w:rPr>
          <w:sz w:val="20"/>
          <w:szCs w:val="20"/>
          <w:u w:val="single"/>
          <w:shd w:val="clear" w:color="auto" w:fill="FFFFFF"/>
        </w:rPr>
        <w:t>Houseware products:</w:t>
      </w:r>
      <w:r w:rsidRPr="0064652A">
        <w:rPr>
          <w:sz w:val="20"/>
          <w:szCs w:val="20"/>
          <w:shd w:val="clear" w:color="auto" w:fill="FFFFFF"/>
        </w:rPr>
        <w:t xml:space="preserve">      Net sales increased $0.4 million, or 313.4%, to $0.6 million for the three month period ended </w:t>
      </w:r>
      <w:r w:rsidRPr="0064652A">
        <w:rPr>
          <w:sz w:val="20"/>
          <w:szCs w:val="20"/>
        </w:rPr>
        <w:t>December 31, 2023</w:t>
      </w:r>
      <w:r w:rsidRPr="0064652A">
        <w:rPr>
          <w:sz w:val="20"/>
          <w:szCs w:val="20"/>
          <w:shd w:val="clear" w:color="auto" w:fill="FFFFFF"/>
        </w:rPr>
        <w:t xml:space="preserve"> as compared to $0.2 million for the three month pe</w:t>
      </w:r>
      <w:r w:rsidRPr="0064652A">
        <w:rPr>
          <w:sz w:val="20"/>
          <w:szCs w:val="20"/>
        </w:rPr>
        <w:t xml:space="preserve">riod ended </w:t>
      </w:r>
      <w:bookmarkStart w:id="28" w:name="led288631F2022881662679951839"/>
      <w:r w:rsidRPr="0064652A">
        <w:rPr>
          <w:sz w:val="20"/>
          <w:szCs w:val="20"/>
        </w:rPr>
        <w:t>December 31, 2022, driven by increased net sales of microwave ovens and refrigerators. Net sales increased $0.9 million, or 89.9%, to $2.0 million for the nine month period ended December 31, 2023 as compared to $1.1 million for the nine month period ended December 31, 2022</w:t>
      </w:r>
      <w:bookmarkEnd w:id="28"/>
      <w:r w:rsidRPr="0064652A">
        <w:rPr>
          <w:sz w:val="20"/>
          <w:szCs w:val="20"/>
        </w:rPr>
        <w:t>, driven by increased net sales of microwave ovens and refrigerators. </w:t>
      </w:r>
    </w:p>
    <w:p w14:paraId="5662799B" w14:textId="77777777" w:rsidR="00C820B8" w:rsidRPr="0064652A" w:rsidRDefault="008D7FC6">
      <w:pPr>
        <w:ind w:left="2780" w:hanging="2300"/>
        <w:rPr>
          <w:sz w:val="20"/>
          <w:szCs w:val="20"/>
        </w:rPr>
      </w:pPr>
      <w:r w:rsidRPr="0064652A">
        <w:rPr>
          <w:sz w:val="20"/>
          <w:szCs w:val="20"/>
        </w:rPr>
        <w:t> </w:t>
      </w:r>
    </w:p>
    <w:p w14:paraId="1AE00AF3" w14:textId="77777777" w:rsidR="00C820B8" w:rsidRPr="0064652A" w:rsidRDefault="008D7FC6">
      <w:pPr>
        <w:ind w:left="2780" w:hanging="2300"/>
        <w:rPr>
          <w:sz w:val="20"/>
          <w:szCs w:val="20"/>
        </w:rPr>
      </w:pPr>
      <w:r w:rsidRPr="0064652A">
        <w:rPr>
          <w:sz w:val="20"/>
          <w:szCs w:val="20"/>
        </w:rPr>
        <w:t>ii)</w:t>
      </w:r>
      <w:r w:rsidRPr="0064652A">
        <w:rPr>
          <w:sz w:val="20"/>
          <w:szCs w:val="20"/>
          <w:shd w:val="clear" w:color="auto" w:fill="FFFFFF"/>
        </w:rPr>
        <w:t>   </w:t>
      </w:r>
      <w:r w:rsidRPr="0064652A">
        <w:rPr>
          <w:sz w:val="20"/>
          <w:szCs w:val="20"/>
          <w:u w:val="single"/>
          <w:shd w:val="clear" w:color="auto" w:fill="FFFFFF"/>
        </w:rPr>
        <w:t>Audio products:</w:t>
      </w:r>
      <w:r w:rsidRPr="0064652A">
        <w:rPr>
          <w:sz w:val="20"/>
          <w:szCs w:val="20"/>
          <w:shd w:val="clear" w:color="auto" w:fill="FFFFFF"/>
        </w:rPr>
        <w:t xml:space="preserve">  </w:t>
      </w:r>
      <w:r w:rsidRPr="0064652A">
        <w:rPr>
          <w:sz w:val="20"/>
          <w:szCs w:val="20"/>
        </w:rPr>
        <w:t xml:space="preserve">            Net sales increased $0.4 million, or 27.4%, to $2.0 million for the three month period ended December 31, 2023 as compared to $1.6 million for the three month period ended </w:t>
      </w:r>
      <w:bookmarkStart w:id="29" w:name="led288631F2022881662679962470"/>
      <w:r w:rsidRPr="0064652A">
        <w:rPr>
          <w:sz w:val="20"/>
          <w:szCs w:val="20"/>
        </w:rPr>
        <w:t>December 31, 2022, resulting from increased net sales of clock radios. Net sales increased $1.4 million, or 44.4%, to $4.7 million for the nine month period ended December 31, 2023 as compared to $3.3 million for the nine month period ended December 31, 2022</w:t>
      </w:r>
      <w:bookmarkEnd w:id="29"/>
      <w:r w:rsidRPr="0064652A">
        <w:rPr>
          <w:sz w:val="20"/>
          <w:szCs w:val="20"/>
        </w:rPr>
        <w:t>, resulting from increased net sales of clock radios. </w:t>
      </w:r>
    </w:p>
    <w:p w14:paraId="2010C560" w14:textId="77777777" w:rsidR="00C820B8" w:rsidRPr="0064652A" w:rsidRDefault="008D7FC6">
      <w:pPr>
        <w:rPr>
          <w:sz w:val="20"/>
          <w:szCs w:val="20"/>
        </w:rPr>
      </w:pPr>
      <w:r w:rsidRPr="0064652A">
        <w:rPr>
          <w:sz w:val="20"/>
          <w:szCs w:val="20"/>
        </w:rPr>
        <w:t> </w:t>
      </w:r>
    </w:p>
    <w:p w14:paraId="3E70B716" w14:textId="77777777" w:rsidR="00C820B8" w:rsidRPr="0064652A" w:rsidRDefault="008D7FC6">
      <w:pPr>
        <w:ind w:firstLine="560"/>
        <w:rPr>
          <w:sz w:val="20"/>
          <w:szCs w:val="20"/>
        </w:rPr>
      </w:pPr>
      <w:r w:rsidRPr="0064652A">
        <w:rPr>
          <w:b/>
          <w:bCs/>
          <w:i/>
          <w:iCs/>
          <w:sz w:val="20"/>
          <w:szCs w:val="20"/>
          <w:u w:val="single"/>
        </w:rPr>
        <w:t>Business operations</w:t>
      </w:r>
      <w:r w:rsidRPr="0064652A">
        <w:rPr>
          <w:sz w:val="20"/>
          <w:szCs w:val="20"/>
        </w:rPr>
        <w:t xml:space="preserve"> — The Company expects to continue to expand its existing distribution channels and to develop and promote new products with retailers in the U.S. The Company is also continuing to invest in products and marketing activities to expand its sales through internet and ecommerce channels. These efforts require investments in appropriate human resources, media marketing and development of products in various categories in addition to the traditional home appliances and audio products on which the Company has historically focused. The Company also is continuing its efforts to identify strategic courses of action related to its licensing activities, including seeking new licensing relationships. The Company has engaged each of Leveraged Marketing Corporation of America and Global Licensing Services Pte Limited as an agent to assist in identifying and procuring potential licensees.</w:t>
      </w:r>
    </w:p>
    <w:p w14:paraId="052C9E36" w14:textId="77777777" w:rsidR="00C820B8" w:rsidRPr="0064652A" w:rsidRDefault="008D7FC6">
      <w:pPr>
        <w:ind w:firstLine="560"/>
        <w:rPr>
          <w:sz w:val="20"/>
          <w:szCs w:val="20"/>
        </w:rPr>
      </w:pPr>
      <w:r w:rsidRPr="0064652A">
        <w:rPr>
          <w:sz w:val="20"/>
          <w:szCs w:val="20"/>
        </w:rPr>
        <w:t> </w:t>
      </w:r>
    </w:p>
    <w:p w14:paraId="1BBE4194" w14:textId="77777777" w:rsidR="00C820B8" w:rsidRPr="0064652A" w:rsidRDefault="008D7FC6">
      <w:pPr>
        <w:ind w:firstLine="500"/>
        <w:rPr>
          <w:sz w:val="20"/>
          <w:szCs w:val="20"/>
        </w:rPr>
      </w:pPr>
      <w:r w:rsidRPr="0064652A">
        <w:rPr>
          <w:sz w:val="20"/>
          <w:szCs w:val="20"/>
        </w:rPr>
        <w:t>Emerson’s success is dependent on its ability to anticipate and respond to changing consumer demands and trends in a timely manner, as well as expanding into new markets and sourcing new products that are profitable to the Company. Geo-political factors may also affect the Company’s operations and demand for the Company’s products, which are subject to customs requirements and to tariffs and quotas set by governments through mutual agreements and bilateral actions. The Company expects that U.S. tariffs on categories of products that the Company imports from China, and China’s retaliatory tariffs on certain goods imported from the United States, as well as modifications to international trade policy, will continue to affect its product costs going forward. If no mitigation steps are taken, or the mitigation is unsuccessful, the combination of tariffs will result in significantly increased annualized costs to the Company as all of the Company’s products are currently manufactured by suppliers in China. Although the Company is monitoring the trade and political environment and working to mitigate the possible effect of tariffs with its suppliers as well as its customers through pricing and sourcing strategies, the Company cannot be certain how its customers and competitors will react to the actions taken. In addition, heightened tensions between the United States and China over Hong Kong and any resulting retaliatory policies may affect our operations in Hong Kong. At this time, the Company is unable to quantify possible effects on its costs arising from the new tariffs, which are expected to increase the Company’s inventory costs and associated costs of sales as tariffs are incurred, and some costs may be passed through to the Company’s customers as product price increases in the future. However, if the Company is unable to successfully pass through the additional costs or otherwise mitigate the effects of these tariffs, or if the higher prices reduce demand for the Company’s products, it will have a negative effect on the Company’s product sales and gross margins.</w:t>
      </w:r>
    </w:p>
    <w:p w14:paraId="6CE69AF0" w14:textId="77777777" w:rsidR="00C820B8" w:rsidRPr="0064652A" w:rsidRDefault="008D7FC6">
      <w:pPr>
        <w:ind w:firstLine="500"/>
        <w:rPr>
          <w:sz w:val="20"/>
          <w:szCs w:val="20"/>
        </w:rPr>
      </w:pPr>
      <w:r w:rsidRPr="0064652A">
        <w:rPr>
          <w:sz w:val="20"/>
          <w:szCs w:val="20"/>
        </w:rPr>
        <w:t> </w:t>
      </w:r>
    </w:p>
    <w:p w14:paraId="65D2D0A9" w14:textId="77777777" w:rsidR="00C820B8" w:rsidRPr="0064652A" w:rsidRDefault="008D7FC6">
      <w:pPr>
        <w:ind w:firstLine="500"/>
        <w:rPr>
          <w:sz w:val="20"/>
          <w:szCs w:val="20"/>
        </w:rPr>
      </w:pPr>
      <w:r w:rsidRPr="0064652A">
        <w:rPr>
          <w:sz w:val="20"/>
          <w:szCs w:val="20"/>
        </w:rPr>
        <w:t>Starting in the fourth quarter of fiscal 2020, the global COVID-19 pandemic has presented significant challenges and impacted the Company’s business and operating results, and the operations and production capabilities of the Company’s suppliers in China. The pandemic has directly and indirectly disrupted certain sales and supply chain activities. Global component shortages, in particular semiconductor chips, arising from changes in consumer demand and reduced manufacturing capacity related to the COVID-19 pandemic may cause price fluctuations and longer lead times in the supply of these components. Although the Company is seeking alternate suppliers for these components, developing alternate sources of supply will be time consuming, difficult and costly, and may require the re-tooling of products to accommodate components from different suppliers. In addition to increasing cost trends, the Company’s suppliers are not equipped to hold meaningful amounts of inventory and could pause manufacturing, which could ultimately impact the Company’s ability to fulfill customer orders on a timely basis. These impacts on the Company’s supply chain may continue to impact the Company’s ability to meet product demand, which could result in additional costs, customer dissatisfaction in the event of inventory shortages or may otherwise adversely impact the Company’s business and results of operations.</w:t>
      </w:r>
    </w:p>
    <w:p w14:paraId="639BDDC0" w14:textId="77777777" w:rsidR="00C820B8" w:rsidRPr="0064652A" w:rsidRDefault="008D7FC6">
      <w:pPr>
        <w:ind w:firstLine="500"/>
        <w:rPr>
          <w:sz w:val="20"/>
          <w:szCs w:val="20"/>
        </w:rPr>
      </w:pPr>
      <w:r w:rsidRPr="0064652A">
        <w:rPr>
          <w:sz w:val="20"/>
          <w:szCs w:val="20"/>
        </w:rPr>
        <w:lastRenderedPageBreak/>
        <w:t> </w:t>
      </w:r>
    </w:p>
    <w:p w14:paraId="6D970057" w14:textId="77777777" w:rsidR="00C820B8" w:rsidRPr="0064652A" w:rsidRDefault="008D7FC6">
      <w:pPr>
        <w:ind w:firstLine="500"/>
        <w:rPr>
          <w:sz w:val="20"/>
          <w:szCs w:val="20"/>
        </w:rPr>
      </w:pPr>
      <w:r w:rsidRPr="0064652A">
        <w:rPr>
          <w:sz w:val="20"/>
          <w:szCs w:val="20"/>
        </w:rPr>
        <w:t>In light of the adverse macroeconomic conditions domestically and internationally, the Company has implemented certain cost-reduction actions intended to reduce expenditures. However, the environment remains uncertain. Demand for the Company’s products remains competitive and retailers continue to carefully manage inventory. Accordingly, the current results and financial condition discussed herein may not be indicative of future operating results and trends.</w:t>
      </w:r>
    </w:p>
    <w:p w14:paraId="54F4F188" w14:textId="77777777" w:rsidR="00C820B8" w:rsidRPr="0064652A" w:rsidRDefault="008D7FC6">
      <w:pPr>
        <w:rPr>
          <w:sz w:val="20"/>
          <w:szCs w:val="20"/>
        </w:rPr>
      </w:pPr>
      <w:r w:rsidRPr="0064652A">
        <w:rPr>
          <w:sz w:val="20"/>
          <w:szCs w:val="20"/>
        </w:rPr>
        <w:t> </w:t>
      </w:r>
    </w:p>
    <w:p w14:paraId="53E2C5D9" w14:textId="77777777" w:rsidR="00C820B8" w:rsidRPr="0064652A" w:rsidRDefault="008D7FC6">
      <w:pPr>
        <w:jc w:val="center"/>
        <w:rPr>
          <w:sz w:val="20"/>
          <w:szCs w:val="20"/>
        </w:rPr>
      </w:pPr>
      <w:r w:rsidRPr="0064652A">
        <w:rPr>
          <w:sz w:val="20"/>
          <w:szCs w:val="20"/>
        </w:rPr>
        <w:t>16</w:t>
      </w:r>
    </w:p>
    <w:p w14:paraId="3DCCEEB3"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79EE0CD6" w14:textId="77777777" w:rsidR="00C820B8" w:rsidRPr="0064652A" w:rsidRDefault="008D7FC6">
      <w:pPr>
        <w:rPr>
          <w:sz w:val="20"/>
          <w:szCs w:val="20"/>
        </w:rPr>
      </w:pPr>
      <w:r w:rsidRPr="0064652A">
        <w:rPr>
          <w:sz w:val="20"/>
          <w:szCs w:val="20"/>
        </w:rPr>
        <w:t> </w:t>
      </w:r>
    </w:p>
    <w:p w14:paraId="3C6F5658" w14:textId="77777777" w:rsidR="00C820B8" w:rsidRPr="0064652A" w:rsidRDefault="008D7FC6">
      <w:pPr>
        <w:ind w:firstLine="500"/>
        <w:rPr>
          <w:sz w:val="20"/>
          <w:szCs w:val="20"/>
        </w:rPr>
      </w:pPr>
      <w:r w:rsidRPr="0064652A">
        <w:rPr>
          <w:sz w:val="20"/>
          <w:szCs w:val="20"/>
        </w:rPr>
        <w:t>For more information on risks associated with the Company’s operations, including tariffs, please see the risk factors within Part I, Item 1A, “Risk Factors” in the Company’s Annual Report on Form 10-K, as amended, for the year ended March 31, 2023.</w:t>
      </w:r>
    </w:p>
    <w:p w14:paraId="16503754" w14:textId="77777777" w:rsidR="00C820B8" w:rsidRPr="0064652A" w:rsidRDefault="008D7FC6">
      <w:pPr>
        <w:rPr>
          <w:sz w:val="20"/>
          <w:szCs w:val="20"/>
        </w:rPr>
      </w:pPr>
      <w:r w:rsidRPr="0064652A">
        <w:rPr>
          <w:sz w:val="20"/>
          <w:szCs w:val="20"/>
        </w:rPr>
        <w:t> </w:t>
      </w:r>
    </w:p>
    <w:p w14:paraId="1E673E53" w14:textId="77777777" w:rsidR="00C820B8" w:rsidRPr="0064652A" w:rsidRDefault="008D7FC6">
      <w:pPr>
        <w:ind w:firstLine="500"/>
        <w:rPr>
          <w:sz w:val="20"/>
          <w:szCs w:val="20"/>
        </w:rPr>
      </w:pPr>
      <w:r w:rsidRPr="0064652A">
        <w:rPr>
          <w:b/>
          <w:bCs/>
          <w:i/>
          <w:iCs/>
          <w:sz w:val="20"/>
          <w:szCs w:val="20"/>
          <w:u w:val="single"/>
        </w:rPr>
        <w:t>Legal Proceedings</w:t>
      </w:r>
      <w:r w:rsidRPr="0064652A">
        <w:rPr>
          <w:b/>
          <w:bCs/>
          <w:i/>
          <w:iCs/>
          <w:sz w:val="20"/>
          <w:szCs w:val="20"/>
        </w:rPr>
        <w:t xml:space="preserve"> </w:t>
      </w:r>
      <w:r w:rsidRPr="0064652A">
        <w:rPr>
          <w:sz w:val="20"/>
          <w:szCs w:val="20"/>
        </w:rPr>
        <w:t>— On April 19, 2022, the U.S. District Court for the District of Delaware (the "District Court") granted judgment in favor of the Company in its trademark infringement lawsuit against air conditioning and heating products provider Emerson Quiet Kool and wholesaler Home Easy (the “Defendants”). Among other things, the District Court’s order included an injunction prohibiting Defendants’ distribution, manufacturing, and sales of EMERSON QUIET KOOL branded products or use of that trademark and directed the U.S. Patent and Trademark Office to cancel Defendants’ trademark registration for the EMERSON QUIET KOOL trademark and prohibited Defendants from attempting to register that mark or any other confusingly similar mark in the future. The judgment also awards $6.5 million to the Company. The Defendants, through a third party, made certain payments to the Company, including certain advances towards a portion of their liability. Those amounts were previously reflected as advanced deposits in the Consolidated Balance Sheets. The aggregate amount of the payments is $4.1 million, which has been reduced by approximately $784,000 for legal fees incurred in fiscal 2023 and approximately $216,000 for legal fees incurred in fiscal 2024, in pursuit of the advanced deposits. Separately, on July 11, 2023, the U.S. Court of Appeals for the Third Circuit affirmed the District Court's judgment against the Defendants. On September 29, 2023, the District court granted the Company’s request for final judgement including approximately $3.16 million in legal fees and $700,000 in enhanced damages, along with the prospect of additional damages due to Defendants’ alleged contempt of court. The Company is pursuing all available remedies against the Defendants and those acting in concert with them. There is no guarantee that the Company will be able to collect the entire judgment or that any negotiated resolution regarding these matters will ever be agreed among the parties or, if agreed, how soon the parties might be able to do so. Due to the legal judgement having been affirmed as stated above, the Company has released the balance of the advanced deposits of approximately $3,100,000, to other income during the quarter ended September 30, 2023.</w:t>
      </w:r>
    </w:p>
    <w:p w14:paraId="79CEC174" w14:textId="77777777" w:rsidR="00C820B8" w:rsidRPr="0064652A" w:rsidRDefault="008D7FC6">
      <w:pPr>
        <w:rPr>
          <w:sz w:val="20"/>
          <w:szCs w:val="20"/>
        </w:rPr>
      </w:pPr>
      <w:r w:rsidRPr="0064652A">
        <w:rPr>
          <w:sz w:val="20"/>
          <w:szCs w:val="20"/>
        </w:rPr>
        <w:t> </w:t>
      </w:r>
    </w:p>
    <w:p w14:paraId="0BE06E0A" w14:textId="77777777" w:rsidR="00C820B8" w:rsidRPr="0064652A" w:rsidRDefault="008D7FC6">
      <w:pPr>
        <w:ind w:firstLine="500"/>
        <w:rPr>
          <w:sz w:val="20"/>
          <w:szCs w:val="20"/>
        </w:rPr>
      </w:pPr>
      <w:r w:rsidRPr="0064652A">
        <w:rPr>
          <w:b/>
          <w:bCs/>
          <w:i/>
          <w:iCs/>
          <w:sz w:val="20"/>
          <w:szCs w:val="20"/>
          <w:u w:val="single"/>
          <w:shd w:val="clear" w:color="auto" w:fill="FFFFFF"/>
        </w:rPr>
        <w:t>Licensing revenue</w:t>
      </w:r>
      <w:r w:rsidRPr="0064652A">
        <w:rPr>
          <w:sz w:val="20"/>
          <w:szCs w:val="20"/>
          <w:shd w:val="clear" w:color="auto" w:fill="FFFFFF"/>
        </w:rPr>
        <w:t xml:space="preserve"> — Licensing revenue for the three month period ended </w:t>
      </w:r>
      <w:r w:rsidRPr="0064652A">
        <w:rPr>
          <w:sz w:val="20"/>
          <w:szCs w:val="20"/>
        </w:rPr>
        <w:t>December 31, 2023</w:t>
      </w:r>
      <w:r w:rsidRPr="0064652A">
        <w:rPr>
          <w:sz w:val="20"/>
          <w:szCs w:val="20"/>
          <w:shd w:val="clear" w:color="auto" w:fill="FFFFFF"/>
        </w:rPr>
        <w:t xml:space="preserve"> was $23,000 as compared to $123,000 for the three month period ended </w:t>
      </w:r>
      <w:bookmarkStart w:id="30" w:name="led288631F2022881662680052842"/>
      <w:r w:rsidRPr="0064652A">
        <w:rPr>
          <w:sz w:val="20"/>
          <w:szCs w:val="20"/>
        </w:rPr>
        <w:t>December 31, 2022</w:t>
      </w:r>
      <w:r w:rsidRPr="0064652A">
        <w:rPr>
          <w:sz w:val="20"/>
          <w:szCs w:val="20"/>
          <w:shd w:val="clear" w:color="auto" w:fill="FFFFFF"/>
        </w:rPr>
        <w:t xml:space="preserve">, a decrease of $100,000, or 81.0%. Licensing revenue for the nine month period ended </w:t>
      </w:r>
      <w:r w:rsidRPr="0064652A">
        <w:rPr>
          <w:sz w:val="20"/>
          <w:szCs w:val="20"/>
        </w:rPr>
        <w:t>December 31, 2023</w:t>
      </w:r>
      <w:r w:rsidRPr="0064652A">
        <w:rPr>
          <w:sz w:val="20"/>
          <w:szCs w:val="20"/>
          <w:shd w:val="clear" w:color="auto" w:fill="FFFFFF"/>
        </w:rPr>
        <w:t xml:space="preserve"> was $124,000 as compared to $271,000 for the nine month period ended </w:t>
      </w:r>
      <w:r w:rsidRPr="0064652A">
        <w:rPr>
          <w:sz w:val="20"/>
          <w:szCs w:val="20"/>
        </w:rPr>
        <w:t>December 31, 2022</w:t>
      </w:r>
      <w:r w:rsidRPr="0064652A">
        <w:rPr>
          <w:sz w:val="20"/>
          <w:szCs w:val="20"/>
          <w:shd w:val="clear" w:color="auto" w:fill="FFFFFF"/>
        </w:rPr>
        <w:t>, a decrease of $147,000, or 54.2%. The decreases for the three and nine month periods ended </w:t>
      </w:r>
      <w:r w:rsidRPr="0064652A">
        <w:rPr>
          <w:sz w:val="20"/>
          <w:szCs w:val="20"/>
        </w:rPr>
        <w:t>December 31, 2023</w:t>
      </w:r>
      <w:r w:rsidRPr="0064652A">
        <w:rPr>
          <w:sz w:val="20"/>
          <w:szCs w:val="20"/>
          <w:shd w:val="clear" w:color="auto" w:fill="FFFFFF"/>
        </w:rPr>
        <w:t> were a result of an expiring license agreement on December 31, 2022.</w:t>
      </w:r>
    </w:p>
    <w:p w14:paraId="3BEA2284" w14:textId="77777777" w:rsidR="00C820B8" w:rsidRPr="0064652A" w:rsidRDefault="008D7FC6">
      <w:pPr>
        <w:ind w:firstLine="500"/>
        <w:rPr>
          <w:sz w:val="20"/>
          <w:szCs w:val="20"/>
        </w:rPr>
      </w:pPr>
      <w:r w:rsidRPr="0064652A">
        <w:rPr>
          <w:sz w:val="20"/>
          <w:szCs w:val="20"/>
        </w:rPr>
        <w:t> </w:t>
      </w:r>
    </w:p>
    <w:p w14:paraId="203AF43A" w14:textId="77777777" w:rsidR="00C820B8" w:rsidRPr="0064652A" w:rsidRDefault="008D7FC6">
      <w:pPr>
        <w:ind w:firstLine="500"/>
        <w:rPr>
          <w:sz w:val="20"/>
          <w:szCs w:val="20"/>
        </w:rPr>
      </w:pPr>
      <w:r w:rsidRPr="0064652A">
        <w:rPr>
          <w:b/>
          <w:bCs/>
          <w:i/>
          <w:iCs/>
          <w:sz w:val="20"/>
          <w:szCs w:val="20"/>
          <w:u w:val="single"/>
          <w:shd w:val="clear" w:color="auto" w:fill="FFFFFF"/>
        </w:rPr>
        <w:t>Royalty income</w:t>
      </w:r>
      <w:r w:rsidRPr="0064652A">
        <w:rPr>
          <w:sz w:val="20"/>
          <w:szCs w:val="20"/>
          <w:shd w:val="clear" w:color="auto" w:fill="FFFFFF"/>
        </w:rPr>
        <w:t xml:space="preserve"> — Royalty income for the three month periods ended </w:t>
      </w:r>
      <w:r w:rsidRPr="0064652A">
        <w:rPr>
          <w:sz w:val="20"/>
          <w:szCs w:val="20"/>
        </w:rPr>
        <w:t>December 31, 2023</w:t>
      </w:r>
      <w:r w:rsidRPr="0064652A">
        <w:rPr>
          <w:sz w:val="20"/>
          <w:szCs w:val="20"/>
          <w:shd w:val="clear" w:color="auto" w:fill="FFFFFF"/>
        </w:rPr>
        <w:t xml:space="preserve"> and </w:t>
      </w:r>
      <w:r w:rsidRPr="0064652A">
        <w:rPr>
          <w:sz w:val="20"/>
          <w:szCs w:val="20"/>
        </w:rPr>
        <w:t>December 31, 2022</w:t>
      </w:r>
      <w:r w:rsidRPr="0064652A">
        <w:rPr>
          <w:sz w:val="20"/>
          <w:szCs w:val="20"/>
          <w:shd w:val="clear" w:color="auto" w:fill="FFFFFF"/>
        </w:rPr>
        <w:t xml:space="preserve"> were nil and $105,000, respectively. Royalty income for the nine month periods ended </w:t>
      </w:r>
      <w:r w:rsidRPr="0064652A">
        <w:rPr>
          <w:sz w:val="20"/>
          <w:szCs w:val="20"/>
        </w:rPr>
        <w:t>December 31, 2023</w:t>
      </w:r>
      <w:r w:rsidRPr="0064652A">
        <w:rPr>
          <w:sz w:val="20"/>
          <w:szCs w:val="20"/>
          <w:shd w:val="clear" w:color="auto" w:fill="FFFFFF"/>
        </w:rPr>
        <w:t xml:space="preserve"> and </w:t>
      </w:r>
      <w:r w:rsidRPr="0064652A">
        <w:rPr>
          <w:sz w:val="20"/>
          <w:szCs w:val="20"/>
        </w:rPr>
        <w:t>December 31, 2022</w:t>
      </w:r>
      <w:r w:rsidRPr="0064652A">
        <w:rPr>
          <w:sz w:val="20"/>
          <w:szCs w:val="20"/>
          <w:shd w:val="clear" w:color="auto" w:fill="FFFFFF"/>
        </w:rPr>
        <w:t> were nil and $700,000, respectively. The royalty income in the three and nine month periods ended December 31, 2022</w:t>
      </w:r>
      <w:bookmarkEnd w:id="30"/>
      <w:r w:rsidRPr="0064652A">
        <w:rPr>
          <w:sz w:val="20"/>
          <w:szCs w:val="20"/>
          <w:shd w:val="clear" w:color="auto" w:fill="FFFFFF"/>
        </w:rPr>
        <w:t xml:space="preserve"> was derived from sell-off agreements made with customers of Emerson Quiet Kool, which did not repeat during the three and nine month periods ended </w:t>
      </w:r>
      <w:r w:rsidRPr="0064652A">
        <w:rPr>
          <w:sz w:val="20"/>
          <w:szCs w:val="20"/>
        </w:rPr>
        <w:t>December 31, 2023</w:t>
      </w:r>
      <w:r w:rsidRPr="0064652A">
        <w:rPr>
          <w:sz w:val="20"/>
          <w:szCs w:val="20"/>
          <w:shd w:val="clear" w:color="auto" w:fill="FFFFFF"/>
        </w:rPr>
        <w:t>. </w:t>
      </w:r>
    </w:p>
    <w:p w14:paraId="10B8197C" w14:textId="77777777" w:rsidR="00C820B8" w:rsidRPr="0064652A" w:rsidRDefault="008D7FC6">
      <w:pPr>
        <w:ind w:firstLine="500"/>
        <w:rPr>
          <w:sz w:val="20"/>
          <w:szCs w:val="20"/>
        </w:rPr>
      </w:pPr>
      <w:r w:rsidRPr="0064652A">
        <w:rPr>
          <w:sz w:val="20"/>
          <w:szCs w:val="20"/>
        </w:rPr>
        <w:t> </w:t>
      </w:r>
    </w:p>
    <w:p w14:paraId="01B6574F" w14:textId="77777777" w:rsidR="00C820B8" w:rsidRPr="0064652A" w:rsidRDefault="008D7FC6">
      <w:pPr>
        <w:ind w:firstLine="500"/>
        <w:rPr>
          <w:sz w:val="20"/>
          <w:szCs w:val="20"/>
        </w:rPr>
      </w:pPr>
      <w:r w:rsidRPr="0064652A">
        <w:rPr>
          <w:b/>
          <w:bCs/>
          <w:i/>
          <w:iCs/>
          <w:sz w:val="20"/>
          <w:szCs w:val="20"/>
          <w:u w:val="single"/>
          <w:shd w:val="clear" w:color="auto" w:fill="FFFFFF"/>
        </w:rPr>
        <w:t>Net revenues</w:t>
      </w:r>
      <w:r w:rsidRPr="0064652A">
        <w:rPr>
          <w:sz w:val="20"/>
          <w:szCs w:val="20"/>
          <w:shd w:val="clear" w:color="auto" w:fill="FFFFFF"/>
        </w:rPr>
        <w:t xml:space="preserve"> — Net revenues were $2.6 million for the three month period ended </w:t>
      </w:r>
      <w:r w:rsidRPr="0064652A">
        <w:rPr>
          <w:sz w:val="20"/>
          <w:szCs w:val="20"/>
        </w:rPr>
        <w:t>December 31, 2023</w:t>
      </w:r>
      <w:r w:rsidRPr="0064652A">
        <w:rPr>
          <w:sz w:val="20"/>
          <w:szCs w:val="20"/>
          <w:shd w:val="clear" w:color="auto" w:fill="FFFFFF"/>
        </w:rPr>
        <w:t xml:space="preserve"> as compared to $1.9 million for the three month period ended </w:t>
      </w:r>
      <w:bookmarkStart w:id="31" w:name="led288631F2022881662680068967"/>
      <w:r w:rsidRPr="0064652A">
        <w:rPr>
          <w:sz w:val="20"/>
          <w:szCs w:val="20"/>
        </w:rPr>
        <w:t>December 31, 2022</w:t>
      </w:r>
      <w:r w:rsidRPr="0064652A">
        <w:rPr>
          <w:sz w:val="20"/>
          <w:szCs w:val="20"/>
          <w:shd w:val="clear" w:color="auto" w:fill="FFFFFF"/>
        </w:rPr>
        <w:t>, an increase of $0.7 million, or 35.7%. The increase in net revenues can be attributed to the introduction of new models to the marketplace as well as increased demand from the Company's key customers.</w:t>
      </w:r>
    </w:p>
    <w:p w14:paraId="4B401A16" w14:textId="77777777" w:rsidR="00C820B8" w:rsidRPr="0064652A" w:rsidRDefault="008D7FC6">
      <w:pPr>
        <w:ind w:firstLine="500"/>
        <w:rPr>
          <w:sz w:val="20"/>
          <w:szCs w:val="20"/>
        </w:rPr>
      </w:pPr>
      <w:r w:rsidRPr="0064652A">
        <w:rPr>
          <w:sz w:val="20"/>
          <w:szCs w:val="20"/>
        </w:rPr>
        <w:t> </w:t>
      </w:r>
    </w:p>
    <w:p w14:paraId="75359429" w14:textId="77777777" w:rsidR="00C820B8" w:rsidRPr="0064652A" w:rsidRDefault="008D7FC6">
      <w:pPr>
        <w:ind w:firstLine="500"/>
        <w:rPr>
          <w:sz w:val="20"/>
          <w:szCs w:val="20"/>
        </w:rPr>
      </w:pPr>
      <w:r w:rsidRPr="0064652A">
        <w:rPr>
          <w:sz w:val="20"/>
          <w:szCs w:val="20"/>
          <w:shd w:val="clear" w:color="auto" w:fill="FFFFFF"/>
        </w:rPr>
        <w:t xml:space="preserve">Net revenues were $6.9 million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2023</w:t>
      </w:r>
      <w:r w:rsidRPr="0064652A">
        <w:rPr>
          <w:sz w:val="20"/>
          <w:szCs w:val="20"/>
          <w:shd w:val="clear" w:color="auto" w:fill="FFFFFF"/>
        </w:rPr>
        <w:t xml:space="preserve"> as compared to $5.3 million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2022</w:t>
      </w:r>
      <w:bookmarkEnd w:id="31"/>
      <w:r w:rsidRPr="0064652A">
        <w:rPr>
          <w:sz w:val="20"/>
          <w:szCs w:val="20"/>
          <w:shd w:val="clear" w:color="auto" w:fill="FFFFFF"/>
        </w:rPr>
        <w:t>, an increase of $1.6 million, or 29.5%. The increase in net revenues can be attributed to the introduction of new models to the marketplace as well as increased demand from the Company's key customers.</w:t>
      </w:r>
    </w:p>
    <w:p w14:paraId="2381D565" w14:textId="77777777" w:rsidR="00C820B8" w:rsidRPr="0064652A" w:rsidRDefault="008D7FC6">
      <w:pPr>
        <w:rPr>
          <w:sz w:val="20"/>
          <w:szCs w:val="20"/>
        </w:rPr>
      </w:pPr>
      <w:r w:rsidRPr="0064652A">
        <w:rPr>
          <w:sz w:val="20"/>
          <w:szCs w:val="20"/>
        </w:rPr>
        <w:t> </w:t>
      </w:r>
    </w:p>
    <w:p w14:paraId="46E437C4" w14:textId="77777777" w:rsidR="00C820B8" w:rsidRPr="0064652A" w:rsidRDefault="008D7FC6">
      <w:pPr>
        <w:ind w:firstLine="500"/>
        <w:rPr>
          <w:sz w:val="20"/>
          <w:szCs w:val="20"/>
        </w:rPr>
      </w:pPr>
      <w:r w:rsidRPr="0064652A">
        <w:rPr>
          <w:b/>
          <w:bCs/>
          <w:i/>
          <w:iCs/>
          <w:sz w:val="20"/>
          <w:szCs w:val="20"/>
          <w:u w:val="single"/>
          <w:shd w:val="clear" w:color="auto" w:fill="FFFFFF"/>
        </w:rPr>
        <w:t>Cost of sales</w:t>
      </w:r>
      <w:r w:rsidRPr="0064652A">
        <w:rPr>
          <w:sz w:val="20"/>
          <w:szCs w:val="20"/>
          <w:shd w:val="clear" w:color="auto" w:fill="FFFFFF"/>
        </w:rPr>
        <w:t xml:space="preserve"> — Cost of sales increased $0.8 million, or 57.5% to $2.1 million for the three month period ended </w:t>
      </w:r>
      <w:r w:rsidRPr="0064652A">
        <w:rPr>
          <w:sz w:val="20"/>
          <w:szCs w:val="20"/>
        </w:rPr>
        <w:t>December 31, 2023</w:t>
      </w:r>
      <w:r w:rsidRPr="0064652A">
        <w:rPr>
          <w:sz w:val="20"/>
          <w:szCs w:val="20"/>
          <w:shd w:val="clear" w:color="auto" w:fill="FFFFFF"/>
        </w:rPr>
        <w:t xml:space="preserve"> as compared to $1.3 million for the three month period ended </w:t>
      </w:r>
      <w:bookmarkStart w:id="32" w:name="led288631F2022881662680099017"/>
      <w:r w:rsidRPr="0064652A">
        <w:rPr>
          <w:sz w:val="20"/>
          <w:szCs w:val="20"/>
        </w:rPr>
        <w:t>December 31, 2022</w:t>
      </w:r>
      <w:r w:rsidRPr="0064652A">
        <w:rPr>
          <w:sz w:val="20"/>
          <w:szCs w:val="20"/>
          <w:shd w:val="clear" w:color="auto" w:fill="FFFFFF"/>
        </w:rPr>
        <w:t xml:space="preserve">. The increase in absolute terms for the three month period ended </w:t>
      </w:r>
      <w:r w:rsidRPr="0064652A">
        <w:rPr>
          <w:sz w:val="20"/>
          <w:szCs w:val="20"/>
        </w:rPr>
        <w:t>December 31, 2023</w:t>
      </w:r>
      <w:r w:rsidRPr="0064652A">
        <w:rPr>
          <w:sz w:val="20"/>
          <w:szCs w:val="20"/>
          <w:shd w:val="clear" w:color="auto" w:fill="FFFFFF"/>
        </w:rPr>
        <w:t xml:space="preserve"> as compared to the three month period ended </w:t>
      </w:r>
      <w:bookmarkStart w:id="33" w:name="led288631F2022881662680112645"/>
      <w:r w:rsidRPr="0064652A">
        <w:rPr>
          <w:sz w:val="20"/>
          <w:szCs w:val="20"/>
        </w:rPr>
        <w:t>December 31, 2022</w:t>
      </w:r>
      <w:r w:rsidRPr="0064652A">
        <w:rPr>
          <w:sz w:val="20"/>
          <w:szCs w:val="20"/>
          <w:shd w:val="clear" w:color="auto" w:fill="FFFFFF"/>
        </w:rPr>
        <w:t xml:space="preserve"> was primarily related to an increase in net product sales and by higher year-over-year gross cost of sales as a percentage of gross sales.</w:t>
      </w:r>
    </w:p>
    <w:p w14:paraId="3C3C3D42" w14:textId="77777777" w:rsidR="00C820B8" w:rsidRPr="0064652A" w:rsidRDefault="008D7FC6">
      <w:pPr>
        <w:ind w:firstLine="500"/>
        <w:rPr>
          <w:sz w:val="20"/>
          <w:szCs w:val="20"/>
        </w:rPr>
      </w:pPr>
      <w:r w:rsidRPr="0064652A">
        <w:rPr>
          <w:sz w:val="20"/>
          <w:szCs w:val="20"/>
        </w:rPr>
        <w:t> </w:t>
      </w:r>
    </w:p>
    <w:p w14:paraId="6E06EBC2" w14:textId="77777777" w:rsidR="00C820B8" w:rsidRPr="0064652A" w:rsidRDefault="008D7FC6">
      <w:pPr>
        <w:ind w:firstLine="500"/>
        <w:rPr>
          <w:sz w:val="20"/>
          <w:szCs w:val="20"/>
        </w:rPr>
      </w:pPr>
      <w:r w:rsidRPr="0064652A">
        <w:rPr>
          <w:sz w:val="20"/>
          <w:szCs w:val="20"/>
          <w:shd w:val="clear" w:color="auto" w:fill="FFFFFF"/>
        </w:rPr>
        <w:t xml:space="preserve">Cost of sales increased $2.1 million, or 59.3% to $5.7 million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2023</w:t>
      </w:r>
      <w:r w:rsidRPr="0064652A">
        <w:rPr>
          <w:sz w:val="20"/>
          <w:szCs w:val="20"/>
          <w:shd w:val="clear" w:color="auto" w:fill="FFFFFF"/>
        </w:rPr>
        <w:t xml:space="preserve"> as compared to $3.6 million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2022</w:t>
      </w:r>
      <w:bookmarkEnd w:id="32"/>
      <w:r w:rsidRPr="0064652A">
        <w:rPr>
          <w:sz w:val="20"/>
          <w:szCs w:val="20"/>
          <w:shd w:val="clear" w:color="auto" w:fill="FFFFFF"/>
        </w:rPr>
        <w:t xml:space="preserve">. The increase in absolute terms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2023</w:t>
      </w:r>
      <w:r w:rsidRPr="0064652A">
        <w:rPr>
          <w:sz w:val="20"/>
          <w:szCs w:val="20"/>
          <w:shd w:val="clear" w:color="auto" w:fill="FFFFFF"/>
        </w:rPr>
        <w:t xml:space="preserve"> as compared to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2022</w:t>
      </w:r>
      <w:bookmarkEnd w:id="33"/>
      <w:r w:rsidRPr="0064652A">
        <w:rPr>
          <w:sz w:val="20"/>
          <w:szCs w:val="20"/>
          <w:shd w:val="clear" w:color="auto" w:fill="FFFFFF"/>
        </w:rPr>
        <w:t xml:space="preserve"> was primarily related to an increase in net product sales and by higher year-over-year gross cost of sales as a percentage of gross sales.</w:t>
      </w:r>
    </w:p>
    <w:p w14:paraId="1A8F6911" w14:textId="77777777" w:rsidR="00C820B8" w:rsidRPr="0064652A" w:rsidRDefault="008D7FC6">
      <w:pPr>
        <w:ind w:firstLine="500"/>
        <w:rPr>
          <w:sz w:val="20"/>
          <w:szCs w:val="20"/>
        </w:rPr>
      </w:pPr>
      <w:r w:rsidRPr="0064652A">
        <w:rPr>
          <w:sz w:val="20"/>
          <w:szCs w:val="20"/>
        </w:rPr>
        <w:t> </w:t>
      </w:r>
    </w:p>
    <w:p w14:paraId="0ABE60C2" w14:textId="77777777" w:rsidR="00C820B8" w:rsidRPr="0064652A" w:rsidRDefault="008D7FC6">
      <w:pPr>
        <w:ind w:firstLine="500"/>
        <w:rPr>
          <w:sz w:val="20"/>
          <w:szCs w:val="20"/>
        </w:rPr>
      </w:pPr>
      <w:r w:rsidRPr="0064652A">
        <w:rPr>
          <w:b/>
          <w:bCs/>
          <w:i/>
          <w:iCs/>
          <w:sz w:val="20"/>
          <w:szCs w:val="20"/>
          <w:u w:val="single"/>
          <w:shd w:val="clear" w:color="auto" w:fill="FFFFFF"/>
        </w:rPr>
        <w:t>Selling, general and administrative expenses (</w:t>
      </w:r>
      <w:r w:rsidRPr="0064652A">
        <w:rPr>
          <w:sz w:val="20"/>
          <w:szCs w:val="20"/>
          <w:u w:val="single"/>
          <w:shd w:val="clear" w:color="auto" w:fill="FFFFFF"/>
        </w:rPr>
        <w:t>“</w:t>
      </w:r>
      <w:r w:rsidRPr="0064652A">
        <w:rPr>
          <w:b/>
          <w:bCs/>
          <w:i/>
          <w:iCs/>
          <w:sz w:val="20"/>
          <w:szCs w:val="20"/>
          <w:u w:val="single"/>
          <w:shd w:val="clear" w:color="auto" w:fill="FFFFFF"/>
        </w:rPr>
        <w:t>S,G&amp;A</w:t>
      </w:r>
      <w:r w:rsidRPr="0064652A">
        <w:rPr>
          <w:sz w:val="20"/>
          <w:szCs w:val="20"/>
          <w:u w:val="single"/>
          <w:shd w:val="clear" w:color="auto" w:fill="FFFFFF"/>
        </w:rPr>
        <w:t>”</w:t>
      </w:r>
      <w:r w:rsidRPr="0064652A">
        <w:rPr>
          <w:b/>
          <w:bCs/>
          <w:i/>
          <w:iCs/>
          <w:sz w:val="20"/>
          <w:szCs w:val="20"/>
          <w:u w:val="single"/>
          <w:shd w:val="clear" w:color="auto" w:fill="FFFFFF"/>
        </w:rPr>
        <w:t>)</w:t>
      </w:r>
      <w:r w:rsidRPr="0064652A">
        <w:rPr>
          <w:sz w:val="20"/>
          <w:szCs w:val="20"/>
          <w:shd w:val="clear" w:color="auto" w:fill="FFFFFF"/>
        </w:rPr>
        <w:t xml:space="preserve"> — S,G&amp;A was $1.2 million for the three month period ended </w:t>
      </w:r>
      <w:r w:rsidRPr="0064652A">
        <w:rPr>
          <w:sz w:val="20"/>
          <w:szCs w:val="20"/>
        </w:rPr>
        <w:t>December 31, 2023</w:t>
      </w:r>
      <w:r w:rsidRPr="0064652A">
        <w:rPr>
          <w:sz w:val="20"/>
          <w:szCs w:val="20"/>
          <w:shd w:val="clear" w:color="auto" w:fill="FFFFFF"/>
        </w:rPr>
        <w:t> as compared to $1.1 million for the three month period ended </w:t>
      </w:r>
      <w:bookmarkStart w:id="34" w:name="led288631F2022881662680168461"/>
      <w:r w:rsidRPr="0064652A">
        <w:rPr>
          <w:sz w:val="20"/>
          <w:szCs w:val="20"/>
        </w:rPr>
        <w:t>December 31, 2022</w:t>
      </w:r>
      <w:r w:rsidRPr="0064652A">
        <w:rPr>
          <w:sz w:val="20"/>
          <w:szCs w:val="20"/>
          <w:shd w:val="clear" w:color="auto" w:fill="FFFFFF"/>
        </w:rPr>
        <w:t xml:space="preserve">, an increase of $0.1 million or 14.4%. S,G&amp;A, as a percentage of net revenues, was 45.8% for the three month period ended </w:t>
      </w:r>
      <w:r w:rsidRPr="0064652A">
        <w:rPr>
          <w:sz w:val="20"/>
          <w:szCs w:val="20"/>
        </w:rPr>
        <w:t>December 31, 2023</w:t>
      </w:r>
      <w:r w:rsidRPr="0064652A">
        <w:rPr>
          <w:sz w:val="20"/>
          <w:szCs w:val="20"/>
          <w:shd w:val="clear" w:color="auto" w:fill="FFFFFF"/>
        </w:rPr>
        <w:t xml:space="preserve"> as compared to 54.4% for the three month period ended </w:t>
      </w:r>
      <w:bookmarkStart w:id="35" w:name="led288631F2022881662680181308"/>
      <w:r w:rsidRPr="0064652A">
        <w:rPr>
          <w:sz w:val="20"/>
          <w:szCs w:val="20"/>
        </w:rPr>
        <w:t>December 31, 2022</w:t>
      </w:r>
      <w:r w:rsidRPr="0064652A">
        <w:rPr>
          <w:sz w:val="20"/>
          <w:szCs w:val="20"/>
          <w:shd w:val="clear" w:color="auto" w:fill="FFFFFF"/>
        </w:rPr>
        <w:t xml:space="preserve">. Compensation costs increased by $69,000, legal fees increased by $68,000 and audit fees increased by $28,000 for the three month period ended </w:t>
      </w:r>
      <w:r w:rsidRPr="0064652A">
        <w:rPr>
          <w:sz w:val="20"/>
          <w:szCs w:val="20"/>
        </w:rPr>
        <w:t>December 31, 2023</w:t>
      </w:r>
      <w:r w:rsidRPr="0064652A">
        <w:rPr>
          <w:sz w:val="20"/>
          <w:szCs w:val="20"/>
          <w:shd w:val="clear" w:color="auto" w:fill="FFFFFF"/>
        </w:rPr>
        <w:t xml:space="preserve"> as compared to the three month period ended </w:t>
      </w:r>
      <w:bookmarkStart w:id="36" w:name="led288631F2022881662680211037"/>
      <w:r w:rsidRPr="0064652A">
        <w:rPr>
          <w:sz w:val="20"/>
          <w:szCs w:val="20"/>
          <w:shd w:val="clear" w:color="auto" w:fill="FFFFFF"/>
        </w:rPr>
        <w:t>December 31, 2022. Compensation costs for the three month period ended </w:t>
      </w:r>
      <w:r w:rsidRPr="0064652A">
        <w:rPr>
          <w:sz w:val="20"/>
          <w:szCs w:val="20"/>
        </w:rPr>
        <w:t>December 31, 2023</w:t>
      </w:r>
      <w:r w:rsidRPr="0064652A">
        <w:rPr>
          <w:sz w:val="20"/>
          <w:szCs w:val="20"/>
          <w:shd w:val="clear" w:color="auto" w:fill="FFFFFF"/>
        </w:rPr>
        <w:t xml:space="preserve"> were $558,000 as compared to $489,000 for the three month period ended </w:t>
      </w:r>
      <w:r w:rsidRPr="0064652A">
        <w:rPr>
          <w:sz w:val="20"/>
          <w:szCs w:val="20"/>
        </w:rPr>
        <w:t>December 31, 2022</w:t>
      </w:r>
      <w:r w:rsidRPr="0064652A">
        <w:rPr>
          <w:sz w:val="20"/>
          <w:szCs w:val="20"/>
          <w:shd w:val="clear" w:color="auto" w:fill="FFFFFF"/>
        </w:rPr>
        <w:t xml:space="preserve">. Legal fees for the three month period ended </w:t>
      </w:r>
      <w:r w:rsidRPr="0064652A">
        <w:rPr>
          <w:sz w:val="20"/>
          <w:szCs w:val="20"/>
        </w:rPr>
        <w:t xml:space="preserve">December </w:t>
      </w:r>
      <w:r w:rsidRPr="0064652A">
        <w:rPr>
          <w:sz w:val="20"/>
          <w:szCs w:val="20"/>
        </w:rPr>
        <w:lastRenderedPageBreak/>
        <w:t>31, 2023</w:t>
      </w:r>
      <w:r w:rsidRPr="0064652A">
        <w:rPr>
          <w:sz w:val="20"/>
          <w:szCs w:val="20"/>
          <w:shd w:val="clear" w:color="auto" w:fill="FFFFFF"/>
        </w:rPr>
        <w:t xml:space="preserve"> were $236,000 as compared to $168,000 for the three month period ended </w:t>
      </w:r>
      <w:bookmarkStart w:id="37" w:name="led288631F2022881662680199493"/>
      <w:r w:rsidRPr="0064652A">
        <w:rPr>
          <w:sz w:val="20"/>
          <w:szCs w:val="20"/>
        </w:rPr>
        <w:t>December 31, 2022</w:t>
      </w:r>
      <w:r w:rsidRPr="0064652A">
        <w:rPr>
          <w:sz w:val="20"/>
          <w:szCs w:val="20"/>
          <w:shd w:val="clear" w:color="auto" w:fill="FFFFFF"/>
        </w:rPr>
        <w:t>. Audit fees for the three month period ended </w:t>
      </w:r>
      <w:r w:rsidRPr="0064652A">
        <w:rPr>
          <w:sz w:val="20"/>
          <w:szCs w:val="20"/>
        </w:rPr>
        <w:t>December 31, 2023</w:t>
      </w:r>
      <w:r w:rsidRPr="0064652A">
        <w:rPr>
          <w:sz w:val="20"/>
          <w:szCs w:val="20"/>
          <w:shd w:val="clear" w:color="auto" w:fill="FFFFFF"/>
        </w:rPr>
        <w:t xml:space="preserve"> were $53,000 as compared to $25,000 for the three month period ended </w:t>
      </w:r>
      <w:r w:rsidRPr="0064652A">
        <w:rPr>
          <w:sz w:val="20"/>
          <w:szCs w:val="20"/>
        </w:rPr>
        <w:t>December 31, 2022</w:t>
      </w:r>
      <w:r w:rsidRPr="0064652A">
        <w:rPr>
          <w:sz w:val="20"/>
          <w:szCs w:val="20"/>
          <w:shd w:val="clear" w:color="auto" w:fill="FFFFFF"/>
        </w:rPr>
        <w:t>.</w:t>
      </w:r>
    </w:p>
    <w:p w14:paraId="4492B311" w14:textId="77777777" w:rsidR="00C820B8" w:rsidRPr="0064652A" w:rsidRDefault="008D7FC6">
      <w:pPr>
        <w:ind w:firstLine="500"/>
        <w:rPr>
          <w:sz w:val="20"/>
          <w:szCs w:val="20"/>
        </w:rPr>
      </w:pPr>
      <w:r w:rsidRPr="0064652A">
        <w:rPr>
          <w:sz w:val="20"/>
          <w:szCs w:val="20"/>
        </w:rPr>
        <w:t> </w:t>
      </w:r>
    </w:p>
    <w:p w14:paraId="4AEC5CAE" w14:textId="77777777" w:rsidR="00C820B8" w:rsidRPr="0064652A" w:rsidRDefault="008D7FC6">
      <w:pPr>
        <w:ind w:firstLine="500"/>
        <w:rPr>
          <w:sz w:val="20"/>
          <w:szCs w:val="20"/>
        </w:rPr>
      </w:pPr>
      <w:r w:rsidRPr="0064652A">
        <w:rPr>
          <w:sz w:val="20"/>
          <w:szCs w:val="20"/>
          <w:shd w:val="clear" w:color="auto" w:fill="FFFFFF"/>
        </w:rPr>
        <w:t xml:space="preserve">S,G&amp;A was $3.5 million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2023</w:t>
      </w:r>
      <w:r w:rsidRPr="0064652A">
        <w:rPr>
          <w:sz w:val="20"/>
          <w:szCs w:val="20"/>
          <w:shd w:val="clear" w:color="auto" w:fill="FFFFFF"/>
        </w:rPr>
        <w:t xml:space="preserve"> as compared to $3.7 million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2022</w:t>
      </w:r>
      <w:bookmarkEnd w:id="34"/>
      <w:r w:rsidRPr="0064652A">
        <w:rPr>
          <w:sz w:val="20"/>
          <w:szCs w:val="20"/>
          <w:shd w:val="clear" w:color="auto" w:fill="FFFFFF"/>
        </w:rPr>
        <w:t xml:space="preserve">, a decrease of $0.2 million or 6.0%. S,G&amp;A, as a percentage of net revenues, was 50.4%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2023</w:t>
      </w:r>
      <w:r w:rsidRPr="0064652A">
        <w:rPr>
          <w:sz w:val="20"/>
          <w:szCs w:val="20"/>
          <w:shd w:val="clear" w:color="auto" w:fill="FFFFFF"/>
        </w:rPr>
        <w:t xml:space="preserve"> as compared to 69.5%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2022</w:t>
      </w:r>
      <w:r w:rsidRPr="0064652A">
        <w:rPr>
          <w:sz w:val="20"/>
          <w:szCs w:val="20"/>
          <w:shd w:val="clear" w:color="auto" w:fill="FFFFFF"/>
        </w:rPr>
        <w:t xml:space="preserve">. The Company benefitted from a decrease in legal fees of $546,000, a decrease in insurance expense of $31,000 and a decrease in rent expense of $32,000 for the nine month period ended December 31, 2023 as compared to the nine month period ended December 31, 2022. These reductions were offset by an increase in compensation costs of $156,000, additional advertising costs of $50,000, travel and entertainment fees of $21,000, auditing fees of $28,000 and bad debt expense of $73,000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2023</w:t>
      </w:r>
      <w:r w:rsidRPr="0064652A">
        <w:rPr>
          <w:sz w:val="20"/>
          <w:szCs w:val="20"/>
          <w:shd w:val="clear" w:color="auto" w:fill="FFFFFF"/>
        </w:rPr>
        <w:t>. as compared to the nine month period ended December 31, 2022</w:t>
      </w:r>
      <w:bookmarkEnd w:id="35"/>
      <w:r w:rsidRPr="0064652A">
        <w:rPr>
          <w:sz w:val="20"/>
          <w:szCs w:val="20"/>
          <w:shd w:val="clear" w:color="auto" w:fill="FFFFFF"/>
        </w:rPr>
        <w:t xml:space="preserve">. Legal fees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2023</w:t>
      </w:r>
      <w:r w:rsidRPr="0064652A">
        <w:rPr>
          <w:sz w:val="20"/>
          <w:szCs w:val="20"/>
          <w:shd w:val="clear" w:color="auto" w:fill="FFFFFF"/>
        </w:rPr>
        <w:t xml:space="preserve"> were $461,000 as compared to $1,007,000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2022</w:t>
      </w:r>
      <w:r w:rsidRPr="0064652A">
        <w:rPr>
          <w:sz w:val="20"/>
          <w:szCs w:val="20"/>
          <w:shd w:val="clear" w:color="auto" w:fill="FFFFFF"/>
        </w:rPr>
        <w:t xml:space="preserve">. Insurance expense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2023</w:t>
      </w:r>
      <w:r w:rsidRPr="0064652A">
        <w:rPr>
          <w:sz w:val="20"/>
          <w:szCs w:val="20"/>
          <w:shd w:val="clear" w:color="auto" w:fill="FFFFFF"/>
        </w:rPr>
        <w:t xml:space="preserve"> was $357,000 as compared to $388,000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2022</w:t>
      </w:r>
      <w:bookmarkEnd w:id="37"/>
      <w:r w:rsidRPr="0064652A">
        <w:rPr>
          <w:sz w:val="20"/>
          <w:szCs w:val="20"/>
          <w:shd w:val="clear" w:color="auto" w:fill="FFFFFF"/>
        </w:rPr>
        <w:t xml:space="preserve">. Rent expense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2023</w:t>
      </w:r>
      <w:r w:rsidRPr="0064652A">
        <w:rPr>
          <w:sz w:val="20"/>
          <w:szCs w:val="20"/>
          <w:shd w:val="clear" w:color="auto" w:fill="FFFFFF"/>
        </w:rPr>
        <w:t xml:space="preserve"> was $142,000 as compared to $174,000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2022</w:t>
      </w:r>
      <w:r w:rsidRPr="0064652A">
        <w:rPr>
          <w:sz w:val="20"/>
          <w:szCs w:val="20"/>
          <w:shd w:val="clear" w:color="auto" w:fill="FFFFFF"/>
        </w:rPr>
        <w:t xml:space="preserve">. Compensation costs for the </w:t>
      </w:r>
      <w:r w:rsidRPr="0064652A">
        <w:rPr>
          <w:sz w:val="20"/>
          <w:szCs w:val="20"/>
        </w:rPr>
        <w:t>nine</w:t>
      </w:r>
      <w:r w:rsidRPr="0064652A">
        <w:rPr>
          <w:sz w:val="20"/>
          <w:szCs w:val="20"/>
          <w:shd w:val="clear" w:color="auto" w:fill="FFFFFF"/>
        </w:rPr>
        <w:t xml:space="preserve"> month period ended </w:t>
      </w:r>
      <w:r w:rsidRPr="0064652A">
        <w:rPr>
          <w:sz w:val="20"/>
          <w:szCs w:val="20"/>
        </w:rPr>
        <w:t xml:space="preserve">December 31, 2023 were </w:t>
      </w:r>
      <w:r w:rsidRPr="0064652A">
        <w:rPr>
          <w:sz w:val="20"/>
          <w:szCs w:val="20"/>
          <w:shd w:val="clear" w:color="auto" w:fill="FFFFFF"/>
        </w:rPr>
        <w:t>$1,680,000 </w:t>
      </w:r>
      <w:r w:rsidRPr="0064652A">
        <w:rPr>
          <w:sz w:val="20"/>
          <w:szCs w:val="20"/>
        </w:rPr>
        <w:t>as compared to $1,524,000 </w:t>
      </w:r>
      <w:r w:rsidRPr="0064652A">
        <w:rPr>
          <w:sz w:val="20"/>
          <w:szCs w:val="20"/>
          <w:shd w:val="clear" w:color="auto" w:fill="FFFFFF"/>
        </w:rPr>
        <w:t xml:space="preserve">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2022</w:t>
      </w:r>
      <w:bookmarkEnd w:id="36"/>
      <w:r w:rsidRPr="0064652A">
        <w:rPr>
          <w:sz w:val="20"/>
          <w:szCs w:val="20"/>
          <w:shd w:val="clear" w:color="auto" w:fill="FFFFFF"/>
        </w:rPr>
        <w:t>. </w:t>
      </w:r>
    </w:p>
    <w:p w14:paraId="68AC6051" w14:textId="77777777" w:rsidR="00C820B8" w:rsidRPr="0064652A" w:rsidRDefault="008D7FC6">
      <w:pPr>
        <w:rPr>
          <w:sz w:val="20"/>
          <w:szCs w:val="20"/>
        </w:rPr>
      </w:pPr>
      <w:r w:rsidRPr="0064652A">
        <w:rPr>
          <w:sz w:val="20"/>
          <w:szCs w:val="20"/>
        </w:rPr>
        <w:t> </w:t>
      </w:r>
    </w:p>
    <w:p w14:paraId="37F7ECDA" w14:textId="77777777" w:rsidR="00C820B8" w:rsidRPr="0064652A" w:rsidRDefault="008D7FC6">
      <w:pPr>
        <w:ind w:firstLine="500"/>
        <w:rPr>
          <w:sz w:val="20"/>
          <w:szCs w:val="20"/>
        </w:rPr>
      </w:pPr>
      <w:r w:rsidRPr="0064652A">
        <w:rPr>
          <w:b/>
          <w:bCs/>
          <w:i/>
          <w:iCs/>
          <w:sz w:val="20"/>
          <w:szCs w:val="20"/>
          <w:u w:val="single"/>
          <w:shd w:val="clear" w:color="auto" w:fill="FFFFFF"/>
        </w:rPr>
        <w:t>Settlement of litigation</w:t>
      </w:r>
      <w:r w:rsidRPr="0064652A">
        <w:rPr>
          <w:sz w:val="20"/>
          <w:szCs w:val="20"/>
          <w:shd w:val="clear" w:color="auto" w:fill="FFFFFF"/>
        </w:rPr>
        <w:t xml:space="preserve"> — Based on a judgement affirmation by the </w:t>
      </w:r>
      <w:r w:rsidRPr="0064652A">
        <w:rPr>
          <w:sz w:val="20"/>
          <w:szCs w:val="20"/>
        </w:rPr>
        <w:t>U.S. Court of Appeals for the Third Circuit</w:t>
      </w:r>
      <w:r w:rsidRPr="0064652A">
        <w:rPr>
          <w:sz w:val="20"/>
          <w:szCs w:val="20"/>
          <w:shd w:val="clear" w:color="auto" w:fill="FFFFFF"/>
        </w:rPr>
        <w:t>, the Company recorded income of $3.1 million, which was the remaining balance of the advanced deposits as of September 30, 2023. See "Note 11 - Legal Proceedings".</w:t>
      </w:r>
    </w:p>
    <w:p w14:paraId="3D46307A" w14:textId="77777777" w:rsidR="00C820B8" w:rsidRPr="0064652A" w:rsidRDefault="008D7FC6">
      <w:pPr>
        <w:ind w:firstLine="500"/>
        <w:rPr>
          <w:sz w:val="20"/>
          <w:szCs w:val="20"/>
        </w:rPr>
      </w:pPr>
      <w:r w:rsidRPr="0064652A">
        <w:rPr>
          <w:sz w:val="20"/>
          <w:szCs w:val="20"/>
        </w:rPr>
        <w:t> </w:t>
      </w:r>
    </w:p>
    <w:p w14:paraId="48BE8486" w14:textId="77777777" w:rsidR="00C820B8" w:rsidRPr="0064652A" w:rsidRDefault="008D7FC6">
      <w:pPr>
        <w:ind w:firstLine="500"/>
        <w:rPr>
          <w:sz w:val="20"/>
          <w:szCs w:val="20"/>
        </w:rPr>
      </w:pPr>
      <w:r w:rsidRPr="0064652A">
        <w:rPr>
          <w:b/>
          <w:bCs/>
          <w:i/>
          <w:iCs/>
          <w:sz w:val="20"/>
          <w:szCs w:val="20"/>
          <w:u w:val="single"/>
          <w:shd w:val="clear" w:color="auto" w:fill="FFFFFF"/>
        </w:rPr>
        <w:t>Interest income, net</w:t>
      </w:r>
      <w:r w:rsidRPr="0064652A">
        <w:rPr>
          <w:sz w:val="20"/>
          <w:szCs w:val="20"/>
          <w:shd w:val="clear" w:color="auto" w:fill="FFFFFF"/>
        </w:rPr>
        <w:t xml:space="preserve"> — Interest income, net, was $289,000 for the three month period ended </w:t>
      </w:r>
      <w:r w:rsidRPr="0064652A">
        <w:rPr>
          <w:sz w:val="20"/>
          <w:szCs w:val="20"/>
        </w:rPr>
        <w:t>December 31, 2023</w:t>
      </w:r>
      <w:r w:rsidRPr="0064652A">
        <w:rPr>
          <w:sz w:val="20"/>
          <w:szCs w:val="20"/>
          <w:shd w:val="clear" w:color="auto" w:fill="FFFFFF"/>
        </w:rPr>
        <w:t xml:space="preserve"> as compared to $235,000 for the three month period ended </w:t>
      </w:r>
      <w:bookmarkStart w:id="38" w:name="led288631F2022881662680245886"/>
      <w:r w:rsidRPr="0064652A">
        <w:rPr>
          <w:sz w:val="20"/>
          <w:szCs w:val="20"/>
        </w:rPr>
        <w:t>December 31, 2022</w:t>
      </w:r>
      <w:r w:rsidRPr="0064652A">
        <w:rPr>
          <w:sz w:val="20"/>
          <w:szCs w:val="20"/>
          <w:shd w:val="clear" w:color="auto" w:fill="FFFFFF"/>
        </w:rPr>
        <w:t>, an increase of $54,000. The increase was primarily due to higher average interest rates earned on the Company’s short term investments.</w:t>
      </w:r>
    </w:p>
    <w:p w14:paraId="4FEED81A" w14:textId="77777777" w:rsidR="00C820B8" w:rsidRPr="0064652A" w:rsidRDefault="008D7FC6">
      <w:pPr>
        <w:ind w:firstLine="500"/>
        <w:rPr>
          <w:sz w:val="20"/>
          <w:szCs w:val="20"/>
        </w:rPr>
      </w:pPr>
      <w:r w:rsidRPr="0064652A">
        <w:rPr>
          <w:sz w:val="20"/>
          <w:szCs w:val="20"/>
        </w:rPr>
        <w:t> </w:t>
      </w:r>
    </w:p>
    <w:p w14:paraId="18E54BF8" w14:textId="77777777" w:rsidR="00C820B8" w:rsidRPr="0064652A" w:rsidRDefault="008D7FC6">
      <w:pPr>
        <w:ind w:firstLine="500"/>
        <w:rPr>
          <w:sz w:val="20"/>
          <w:szCs w:val="20"/>
        </w:rPr>
      </w:pPr>
      <w:r w:rsidRPr="0064652A">
        <w:rPr>
          <w:sz w:val="20"/>
          <w:szCs w:val="20"/>
          <w:shd w:val="clear" w:color="auto" w:fill="FFFFFF"/>
        </w:rPr>
        <w:t xml:space="preserve">Interest income, net, was $872,000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2023</w:t>
      </w:r>
      <w:r w:rsidRPr="0064652A">
        <w:rPr>
          <w:sz w:val="20"/>
          <w:szCs w:val="20"/>
          <w:shd w:val="clear" w:color="auto" w:fill="FFFFFF"/>
        </w:rPr>
        <w:t xml:space="preserve"> as compared to $424,000 for the </w:t>
      </w:r>
      <w:r w:rsidRPr="0064652A">
        <w:rPr>
          <w:sz w:val="20"/>
          <w:szCs w:val="20"/>
        </w:rPr>
        <w:t>nine</w:t>
      </w:r>
      <w:r w:rsidRPr="0064652A">
        <w:rPr>
          <w:sz w:val="20"/>
          <w:szCs w:val="20"/>
          <w:shd w:val="clear" w:color="auto" w:fill="FFFFFF"/>
        </w:rPr>
        <w:t xml:space="preserve"> month period ended </w:t>
      </w:r>
      <w:r w:rsidRPr="0064652A">
        <w:rPr>
          <w:sz w:val="20"/>
          <w:szCs w:val="20"/>
        </w:rPr>
        <w:t>December 31, 2022</w:t>
      </w:r>
      <w:bookmarkEnd w:id="38"/>
      <w:r w:rsidRPr="0064652A">
        <w:rPr>
          <w:sz w:val="20"/>
          <w:szCs w:val="20"/>
          <w:shd w:val="clear" w:color="auto" w:fill="FFFFFF"/>
        </w:rPr>
        <w:t>, an increase of $448,000. The increase was primarily due to higher average interest rates earned on the Company’s short term investments.</w:t>
      </w:r>
    </w:p>
    <w:p w14:paraId="2FA01980" w14:textId="77777777" w:rsidR="00C820B8" w:rsidRPr="0064652A" w:rsidRDefault="008D7FC6">
      <w:pPr>
        <w:rPr>
          <w:sz w:val="20"/>
          <w:szCs w:val="20"/>
        </w:rPr>
      </w:pPr>
      <w:r w:rsidRPr="0064652A">
        <w:rPr>
          <w:sz w:val="20"/>
          <w:szCs w:val="20"/>
        </w:rPr>
        <w:t> </w:t>
      </w:r>
    </w:p>
    <w:p w14:paraId="2BFF0404" w14:textId="77777777" w:rsidR="00C820B8" w:rsidRPr="0064652A" w:rsidRDefault="008D7FC6">
      <w:pPr>
        <w:ind w:firstLine="500"/>
        <w:rPr>
          <w:sz w:val="20"/>
          <w:szCs w:val="20"/>
        </w:rPr>
      </w:pPr>
      <w:r w:rsidRPr="0064652A">
        <w:rPr>
          <w:b/>
          <w:bCs/>
          <w:i/>
          <w:iCs/>
          <w:sz w:val="20"/>
          <w:szCs w:val="20"/>
          <w:u w:val="single"/>
          <w:shd w:val="clear" w:color="auto" w:fill="FFFFFF"/>
        </w:rPr>
        <w:t>Income from governmental assistance programs</w:t>
      </w:r>
      <w:r w:rsidRPr="0064652A">
        <w:rPr>
          <w:sz w:val="20"/>
          <w:szCs w:val="20"/>
          <w:shd w:val="clear" w:color="auto" w:fill="FFFFFF"/>
        </w:rPr>
        <w:t xml:space="preserve"> — For the three month periods ended </w:t>
      </w:r>
      <w:r w:rsidRPr="0064652A">
        <w:rPr>
          <w:sz w:val="20"/>
          <w:szCs w:val="20"/>
        </w:rPr>
        <w:t>December 31, 2023</w:t>
      </w:r>
      <w:r w:rsidRPr="0064652A">
        <w:rPr>
          <w:sz w:val="20"/>
          <w:szCs w:val="20"/>
          <w:shd w:val="clear" w:color="auto" w:fill="FFFFFF"/>
        </w:rPr>
        <w:t xml:space="preserve"> and </w:t>
      </w:r>
      <w:bookmarkStart w:id="39" w:name="led288631F2022881662680250435"/>
      <w:r w:rsidRPr="0064652A">
        <w:rPr>
          <w:sz w:val="20"/>
          <w:szCs w:val="20"/>
        </w:rPr>
        <w:t>December 31, 2022</w:t>
      </w:r>
      <w:r w:rsidRPr="0064652A">
        <w:rPr>
          <w:sz w:val="20"/>
          <w:szCs w:val="20"/>
          <w:shd w:val="clear" w:color="auto" w:fill="FFFFFF"/>
        </w:rPr>
        <w:t>, the Company recorded income of nil and approximately $4,000, respectively, under the ESS program. See “Note 10 – Governmental Assistance Programs”.</w:t>
      </w:r>
    </w:p>
    <w:p w14:paraId="7149CFFD" w14:textId="77777777" w:rsidR="00C820B8" w:rsidRPr="0064652A" w:rsidRDefault="008D7FC6">
      <w:pPr>
        <w:ind w:firstLine="500"/>
        <w:rPr>
          <w:sz w:val="20"/>
          <w:szCs w:val="20"/>
        </w:rPr>
      </w:pPr>
      <w:r w:rsidRPr="0064652A">
        <w:rPr>
          <w:sz w:val="20"/>
          <w:szCs w:val="20"/>
        </w:rPr>
        <w:t> </w:t>
      </w:r>
    </w:p>
    <w:p w14:paraId="37BD0224" w14:textId="77777777" w:rsidR="00C820B8" w:rsidRPr="0064652A" w:rsidRDefault="008D7FC6">
      <w:pPr>
        <w:ind w:firstLine="500"/>
        <w:rPr>
          <w:sz w:val="20"/>
          <w:szCs w:val="20"/>
        </w:rPr>
      </w:pPr>
      <w:r w:rsidRPr="0064652A">
        <w:rPr>
          <w:sz w:val="20"/>
          <w:szCs w:val="20"/>
          <w:shd w:val="clear" w:color="auto" w:fill="FFFFFF"/>
        </w:rPr>
        <w:t xml:space="preserve">For the </w:t>
      </w:r>
      <w:r w:rsidRPr="0064652A">
        <w:rPr>
          <w:sz w:val="20"/>
          <w:szCs w:val="20"/>
        </w:rPr>
        <w:t>nine</w:t>
      </w:r>
      <w:r w:rsidRPr="0064652A">
        <w:rPr>
          <w:sz w:val="20"/>
          <w:szCs w:val="20"/>
          <w:shd w:val="clear" w:color="auto" w:fill="FFFFFF"/>
        </w:rPr>
        <w:t xml:space="preserve"> month periods ended </w:t>
      </w:r>
      <w:r w:rsidRPr="0064652A">
        <w:rPr>
          <w:sz w:val="20"/>
          <w:szCs w:val="20"/>
        </w:rPr>
        <w:t>December 31, 2023</w:t>
      </w:r>
      <w:r w:rsidRPr="0064652A">
        <w:rPr>
          <w:sz w:val="20"/>
          <w:szCs w:val="20"/>
          <w:shd w:val="clear" w:color="auto" w:fill="FFFFFF"/>
        </w:rPr>
        <w:t xml:space="preserve"> and </w:t>
      </w:r>
      <w:r w:rsidRPr="0064652A">
        <w:rPr>
          <w:sz w:val="20"/>
          <w:szCs w:val="20"/>
        </w:rPr>
        <w:t>December 31, 2022</w:t>
      </w:r>
      <w:r w:rsidRPr="0064652A">
        <w:rPr>
          <w:sz w:val="20"/>
          <w:szCs w:val="20"/>
          <w:shd w:val="clear" w:color="auto" w:fill="FFFFFF"/>
        </w:rPr>
        <w:t>, the Company recorded income of nil and approximately $34,000, respectively, under the ESS program. See “Note 10 – Governmental Assistance Programs”.</w:t>
      </w:r>
    </w:p>
    <w:p w14:paraId="6907E1D6" w14:textId="77777777" w:rsidR="00C820B8" w:rsidRPr="0064652A" w:rsidRDefault="008D7FC6">
      <w:pPr>
        <w:rPr>
          <w:sz w:val="20"/>
          <w:szCs w:val="20"/>
        </w:rPr>
      </w:pPr>
      <w:r w:rsidRPr="0064652A">
        <w:rPr>
          <w:sz w:val="20"/>
          <w:szCs w:val="20"/>
        </w:rPr>
        <w:t> </w:t>
      </w:r>
    </w:p>
    <w:p w14:paraId="6E6FC8DF" w14:textId="77777777" w:rsidR="00C820B8" w:rsidRPr="0064652A" w:rsidRDefault="008D7FC6">
      <w:pPr>
        <w:ind w:firstLine="500"/>
        <w:rPr>
          <w:sz w:val="20"/>
          <w:szCs w:val="20"/>
        </w:rPr>
      </w:pPr>
      <w:r w:rsidRPr="0064652A">
        <w:rPr>
          <w:b/>
          <w:bCs/>
          <w:i/>
          <w:iCs/>
          <w:sz w:val="20"/>
          <w:szCs w:val="20"/>
          <w:u w:val="single"/>
          <w:shd w:val="clear" w:color="auto" w:fill="FFFFFF"/>
        </w:rPr>
        <w:t>(Benefit) provision for income taxes</w:t>
      </w:r>
      <w:r w:rsidRPr="0064652A">
        <w:rPr>
          <w:sz w:val="20"/>
          <w:szCs w:val="20"/>
          <w:shd w:val="clear" w:color="auto" w:fill="FFFFFF"/>
        </w:rPr>
        <w:t xml:space="preserve"> — For the three and nine month periods ended </w:t>
      </w:r>
      <w:r w:rsidRPr="0064652A">
        <w:rPr>
          <w:sz w:val="20"/>
          <w:szCs w:val="20"/>
        </w:rPr>
        <w:t>December 31, 2023</w:t>
      </w:r>
      <w:r w:rsidRPr="0064652A">
        <w:rPr>
          <w:sz w:val="20"/>
          <w:szCs w:val="20"/>
          <w:shd w:val="clear" w:color="auto" w:fill="FFFFFF"/>
        </w:rPr>
        <w:t xml:space="preserve">, the Company recorded an income benefit of $14,000 and income tax expense of $74,000, respectively. For the quarter ended September 30, 2023, the Company estimated its income tax expense to be approximately $88,000 based on the income generated during that period. That estimate has been reduced by $14,000 and is now estimated to be $74,000 for the nine months ended December 31, 2023. The Company under the adoption of ASU 2019-12 “Income Taxes (Topic 740) – Simplifying the Accounting for Income Taxes” incurred non-income based state taxes of nil for both of the three month periods ended </w:t>
      </w:r>
      <w:r w:rsidRPr="0064652A">
        <w:rPr>
          <w:sz w:val="20"/>
          <w:szCs w:val="20"/>
        </w:rPr>
        <w:t>December 31, 2023</w:t>
      </w:r>
      <w:r w:rsidRPr="0064652A">
        <w:rPr>
          <w:sz w:val="20"/>
          <w:szCs w:val="20"/>
          <w:shd w:val="clear" w:color="auto" w:fill="FFFFFF"/>
        </w:rPr>
        <w:t xml:space="preserve"> and December 31, 2022. ﻿For the nine month periods ended December 31, 2023﻿</w:t>
      </w:r>
      <w:r w:rsidRPr="0064652A">
        <w:rPr>
          <w:sz w:val="20"/>
          <w:szCs w:val="20"/>
        </w:rPr>
        <w:t xml:space="preserve"> and </w:t>
      </w:r>
      <w:r w:rsidRPr="0064652A">
        <w:rPr>
          <w:sz w:val="20"/>
          <w:szCs w:val="20"/>
          <w:shd w:val="clear" w:color="auto" w:fill="FFFFFF"/>
        </w:rPr>
        <w:t>December 31, 2022</w:t>
      </w:r>
      <w:bookmarkEnd w:id="39"/>
      <w:r w:rsidRPr="0064652A">
        <w:rPr>
          <w:sz w:val="20"/>
          <w:szCs w:val="20"/>
          <w:shd w:val="clear" w:color="auto" w:fill="FFFFFF"/>
        </w:rPr>
        <w:t>, the Company incurred non-income based state taxes of $8,650 and $10,950, respectively, which are now reported as S,G &amp;A. See “Note 5 – Income Taxes”.</w:t>
      </w:r>
    </w:p>
    <w:p w14:paraId="517A1610" w14:textId="77777777" w:rsidR="00C820B8" w:rsidRPr="0064652A" w:rsidRDefault="008D7FC6">
      <w:pPr>
        <w:ind w:firstLine="500"/>
        <w:rPr>
          <w:sz w:val="20"/>
          <w:szCs w:val="20"/>
        </w:rPr>
      </w:pPr>
      <w:r w:rsidRPr="0064652A">
        <w:rPr>
          <w:sz w:val="20"/>
          <w:szCs w:val="20"/>
        </w:rPr>
        <w:t> </w:t>
      </w:r>
    </w:p>
    <w:p w14:paraId="53AD31D0" w14:textId="77777777" w:rsidR="00C820B8" w:rsidRPr="0064652A" w:rsidRDefault="008D7FC6">
      <w:pPr>
        <w:ind w:firstLine="500"/>
        <w:rPr>
          <w:sz w:val="20"/>
          <w:szCs w:val="20"/>
        </w:rPr>
      </w:pPr>
      <w:r w:rsidRPr="0064652A">
        <w:rPr>
          <w:sz w:val="20"/>
          <w:szCs w:val="20"/>
          <w:shd w:val="clear" w:color="auto" w:fill="FFFFFF"/>
        </w:rPr>
        <w:t>Although the Company generated net income during the nine months ended December 31, 2023﻿, it has yet to demonstrate the ability to generate net income on a sustained basis in order to realize its deferred tax assets. Therefore, the Company is obligated to record a 100% valuation allowance against the deferred tax assets.</w:t>
      </w:r>
    </w:p>
    <w:p w14:paraId="365CD5C6" w14:textId="77777777" w:rsidR="00C820B8" w:rsidRPr="0064652A" w:rsidRDefault="008D7FC6">
      <w:pPr>
        <w:rPr>
          <w:sz w:val="20"/>
          <w:szCs w:val="20"/>
        </w:rPr>
      </w:pPr>
      <w:r w:rsidRPr="0064652A">
        <w:rPr>
          <w:sz w:val="20"/>
          <w:szCs w:val="20"/>
        </w:rPr>
        <w:t> </w:t>
      </w:r>
    </w:p>
    <w:p w14:paraId="2281E546" w14:textId="77777777" w:rsidR="00C820B8" w:rsidRPr="0064652A" w:rsidRDefault="008D7FC6">
      <w:pPr>
        <w:ind w:firstLine="500"/>
        <w:rPr>
          <w:sz w:val="20"/>
          <w:szCs w:val="20"/>
        </w:rPr>
      </w:pPr>
      <w:r w:rsidRPr="0064652A">
        <w:rPr>
          <w:b/>
          <w:bCs/>
          <w:i/>
          <w:iCs/>
          <w:sz w:val="20"/>
          <w:szCs w:val="20"/>
          <w:u w:val="single"/>
          <w:shd w:val="clear" w:color="auto" w:fill="FFFFFF"/>
        </w:rPr>
        <w:t>Net (loss) income</w:t>
      </w:r>
      <w:r w:rsidRPr="0064652A">
        <w:rPr>
          <w:b/>
          <w:bCs/>
          <w:i/>
          <w:iCs/>
          <w:sz w:val="20"/>
          <w:szCs w:val="20"/>
          <w:shd w:val="clear" w:color="auto" w:fill="FFFFFF"/>
        </w:rPr>
        <w:t> </w:t>
      </w:r>
      <w:r w:rsidRPr="0064652A">
        <w:rPr>
          <w:sz w:val="20"/>
          <w:szCs w:val="20"/>
          <w:shd w:val="clear" w:color="auto" w:fill="FFFFFF"/>
        </w:rPr>
        <w:t>— As a</w:t>
      </w:r>
      <w:r w:rsidRPr="0064652A">
        <w:rPr>
          <w:sz w:val="20"/>
          <w:szCs w:val="20"/>
        </w:rPr>
        <w:t xml:space="preserve"> result of the foregoing factors, the Company realized a net loss of $421,000 for the three month period ended December 31, 2023 as compared to a net loss of $241,000 for the three month period ended </w:t>
      </w:r>
      <w:bookmarkStart w:id="40" w:name="led288631F2022881662680257409"/>
      <w:r w:rsidRPr="0064652A">
        <w:rPr>
          <w:sz w:val="20"/>
          <w:szCs w:val="20"/>
        </w:rPr>
        <w:t>December 31, 2022.</w:t>
      </w:r>
    </w:p>
    <w:p w14:paraId="6C4567D3" w14:textId="77777777" w:rsidR="00C820B8" w:rsidRPr="0064652A" w:rsidRDefault="008D7FC6">
      <w:pPr>
        <w:ind w:firstLine="500"/>
        <w:rPr>
          <w:sz w:val="20"/>
          <w:szCs w:val="20"/>
        </w:rPr>
      </w:pPr>
      <w:r w:rsidRPr="0064652A">
        <w:rPr>
          <w:sz w:val="20"/>
          <w:szCs w:val="20"/>
        </w:rPr>
        <w:t> </w:t>
      </w:r>
    </w:p>
    <w:p w14:paraId="3DACE8BD" w14:textId="77777777" w:rsidR="00C820B8" w:rsidRPr="0064652A" w:rsidRDefault="008D7FC6">
      <w:pPr>
        <w:ind w:firstLine="500"/>
        <w:rPr>
          <w:sz w:val="20"/>
          <w:szCs w:val="20"/>
        </w:rPr>
      </w:pPr>
      <w:r w:rsidRPr="0064652A">
        <w:rPr>
          <w:sz w:val="20"/>
          <w:szCs w:val="20"/>
        </w:rPr>
        <w:t>The Company realized net income of $1,649,000 for the nine month period ended December 31, 2023 as compared to a net loss of $1,471,000 for the nine</w:t>
      </w:r>
      <w:bookmarkEnd w:id="26"/>
      <w:r w:rsidRPr="0064652A">
        <w:rPr>
          <w:sz w:val="20"/>
          <w:szCs w:val="20"/>
        </w:rPr>
        <w:t xml:space="preserve"> month period ended December 31, 2022</w:t>
      </w:r>
      <w:bookmarkEnd w:id="40"/>
      <w:r w:rsidRPr="0064652A">
        <w:rPr>
          <w:sz w:val="20"/>
          <w:szCs w:val="20"/>
        </w:rPr>
        <w:t>.</w:t>
      </w:r>
    </w:p>
    <w:p w14:paraId="2D696178" w14:textId="77777777" w:rsidR="00C820B8" w:rsidRPr="0064652A" w:rsidRDefault="008D7FC6">
      <w:pPr>
        <w:rPr>
          <w:sz w:val="20"/>
          <w:szCs w:val="20"/>
        </w:rPr>
      </w:pPr>
      <w:r w:rsidRPr="0064652A">
        <w:rPr>
          <w:sz w:val="20"/>
          <w:szCs w:val="20"/>
        </w:rPr>
        <w:t> </w:t>
      </w:r>
    </w:p>
    <w:p w14:paraId="3ECD0505" w14:textId="77777777" w:rsidR="00C820B8" w:rsidRPr="0064652A" w:rsidRDefault="008D7FC6">
      <w:pPr>
        <w:jc w:val="center"/>
        <w:rPr>
          <w:sz w:val="20"/>
          <w:szCs w:val="20"/>
        </w:rPr>
      </w:pPr>
      <w:r w:rsidRPr="0064652A">
        <w:rPr>
          <w:sz w:val="20"/>
          <w:szCs w:val="20"/>
        </w:rPr>
        <w:t>17</w:t>
      </w:r>
    </w:p>
    <w:p w14:paraId="5A467525"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5C08EE99" w14:textId="77777777" w:rsidR="00C820B8" w:rsidRPr="0064652A" w:rsidRDefault="008D7FC6">
      <w:pPr>
        <w:rPr>
          <w:sz w:val="20"/>
          <w:szCs w:val="20"/>
        </w:rPr>
      </w:pPr>
      <w:r w:rsidRPr="0064652A">
        <w:rPr>
          <w:sz w:val="20"/>
          <w:szCs w:val="20"/>
        </w:rPr>
        <w:t> </w:t>
      </w:r>
    </w:p>
    <w:p w14:paraId="5DB63B79" w14:textId="77777777" w:rsidR="00C820B8" w:rsidRPr="0064652A" w:rsidRDefault="008D7FC6">
      <w:pPr>
        <w:rPr>
          <w:sz w:val="20"/>
          <w:szCs w:val="20"/>
        </w:rPr>
      </w:pPr>
      <w:r w:rsidRPr="0064652A">
        <w:rPr>
          <w:b/>
          <w:bCs/>
          <w:sz w:val="20"/>
          <w:szCs w:val="20"/>
          <w:shd w:val="clear" w:color="auto" w:fill="FFFFFF"/>
        </w:rPr>
        <w:t>Liquidity and Capital Resources</w:t>
      </w:r>
    </w:p>
    <w:p w14:paraId="33146D45" w14:textId="77777777" w:rsidR="00C820B8" w:rsidRPr="0064652A" w:rsidRDefault="008D7FC6">
      <w:pPr>
        <w:rPr>
          <w:sz w:val="20"/>
          <w:szCs w:val="20"/>
        </w:rPr>
      </w:pPr>
      <w:r w:rsidRPr="0064652A">
        <w:rPr>
          <w:sz w:val="20"/>
          <w:szCs w:val="20"/>
        </w:rPr>
        <w:t> </w:t>
      </w:r>
    </w:p>
    <w:p w14:paraId="31B0C184" w14:textId="77777777" w:rsidR="00C820B8" w:rsidRPr="0064652A" w:rsidRDefault="008D7FC6">
      <w:pPr>
        <w:ind w:firstLine="500"/>
        <w:rPr>
          <w:sz w:val="20"/>
          <w:szCs w:val="20"/>
        </w:rPr>
      </w:pPr>
      <w:r w:rsidRPr="0064652A">
        <w:rPr>
          <w:sz w:val="20"/>
          <w:szCs w:val="20"/>
          <w:shd w:val="clear" w:color="auto" w:fill="FFFFFF"/>
        </w:rPr>
        <w:t xml:space="preserve">As of </w:t>
      </w:r>
      <w:r w:rsidRPr="0064652A">
        <w:rPr>
          <w:sz w:val="20"/>
          <w:szCs w:val="20"/>
        </w:rPr>
        <w:t>December 31, 2023, the Company had cash and cash equivalents of approximately $3.6 million as compared to approximat</w:t>
      </w:r>
      <w:r w:rsidRPr="0064652A">
        <w:rPr>
          <w:sz w:val="20"/>
          <w:szCs w:val="20"/>
          <w:shd w:val="clear" w:color="auto" w:fill="FFFFFF"/>
        </w:rPr>
        <w:t xml:space="preserve">ely $25.3 million at </w:t>
      </w:r>
      <w:r w:rsidRPr="0064652A">
        <w:rPr>
          <w:sz w:val="20"/>
          <w:szCs w:val="20"/>
        </w:rPr>
        <w:t>March 31, 2023</w:t>
      </w:r>
      <w:r w:rsidRPr="0064652A">
        <w:rPr>
          <w:sz w:val="20"/>
          <w:szCs w:val="20"/>
          <w:shd w:val="clear" w:color="auto" w:fill="FFFFFF"/>
        </w:rPr>
        <w:t xml:space="preserve">. Cash and cash equivalents includes short term investments in deposits which were classified as cash equivalents of $2.7 million as of </w:t>
      </w:r>
      <w:r w:rsidRPr="0064652A">
        <w:rPr>
          <w:sz w:val="20"/>
          <w:szCs w:val="20"/>
        </w:rPr>
        <w:t>December 31, 2023</w:t>
      </w:r>
      <w:r w:rsidRPr="0064652A">
        <w:rPr>
          <w:sz w:val="20"/>
          <w:szCs w:val="20"/>
          <w:shd w:val="clear" w:color="auto" w:fill="FFFFFF"/>
        </w:rPr>
        <w:t xml:space="preserve"> compared to $23.1 million of such deposits as of </w:t>
      </w:r>
      <w:r w:rsidRPr="0064652A">
        <w:rPr>
          <w:sz w:val="20"/>
          <w:szCs w:val="20"/>
        </w:rPr>
        <w:t>March 31, 2023</w:t>
      </w:r>
      <w:r w:rsidRPr="0064652A">
        <w:rPr>
          <w:sz w:val="20"/>
          <w:szCs w:val="20"/>
          <w:shd w:val="clear" w:color="auto" w:fill="FFFFFF"/>
        </w:rPr>
        <w:t xml:space="preserve">. Working capital increased to $27.5 million at </w:t>
      </w:r>
      <w:r w:rsidRPr="0064652A">
        <w:rPr>
          <w:sz w:val="20"/>
          <w:szCs w:val="20"/>
        </w:rPr>
        <w:t>December 31, 2023</w:t>
      </w:r>
      <w:r w:rsidRPr="0064652A">
        <w:rPr>
          <w:sz w:val="20"/>
          <w:szCs w:val="20"/>
          <w:shd w:val="clear" w:color="auto" w:fill="FFFFFF"/>
        </w:rPr>
        <w:t xml:space="preserve"> as compared to $26.4 million at </w:t>
      </w:r>
      <w:r w:rsidRPr="0064652A">
        <w:rPr>
          <w:sz w:val="20"/>
          <w:szCs w:val="20"/>
        </w:rPr>
        <w:t>March 31, 2023</w:t>
      </w:r>
      <w:r w:rsidRPr="0064652A">
        <w:rPr>
          <w:sz w:val="20"/>
          <w:szCs w:val="20"/>
          <w:shd w:val="clear" w:color="auto" w:fill="FFFFFF"/>
        </w:rPr>
        <w:t>. The decrease in cash and cash equivalents of approximately $21.6 million was due to an increase in short term deposits of $18.5 million, a decrease in advanced deposits of $3.3 million, an increase in inventory of $1.9 million and a decrease in long-term federal taxes payable of $0.5 million partially offset by the net income generated during the period of $1.6 million, an increase in accounts payable and other current liabilities of $0.6 million, an increase in short-term federal income taxes payable of $0.2 million and an increase in long-term operating lease liabilities of $0.2 million. </w:t>
      </w:r>
    </w:p>
    <w:p w14:paraId="64FCA970" w14:textId="77777777" w:rsidR="00C820B8" w:rsidRPr="0064652A" w:rsidRDefault="008D7FC6">
      <w:pPr>
        <w:rPr>
          <w:sz w:val="20"/>
          <w:szCs w:val="20"/>
        </w:rPr>
      </w:pPr>
      <w:r w:rsidRPr="0064652A">
        <w:rPr>
          <w:sz w:val="20"/>
          <w:szCs w:val="20"/>
        </w:rPr>
        <w:t> </w:t>
      </w:r>
    </w:p>
    <w:p w14:paraId="4BFD0847" w14:textId="77777777" w:rsidR="00C820B8" w:rsidRPr="0064652A" w:rsidRDefault="008D7FC6">
      <w:pPr>
        <w:ind w:firstLine="500"/>
        <w:rPr>
          <w:sz w:val="20"/>
          <w:szCs w:val="20"/>
        </w:rPr>
      </w:pPr>
      <w:r w:rsidRPr="0064652A">
        <w:rPr>
          <w:b/>
          <w:bCs/>
          <w:i/>
          <w:iCs/>
          <w:sz w:val="20"/>
          <w:szCs w:val="20"/>
        </w:rPr>
        <w:t>Cash Flows</w:t>
      </w:r>
    </w:p>
    <w:p w14:paraId="4533566C" w14:textId="77777777" w:rsidR="00C820B8" w:rsidRPr="0064652A" w:rsidRDefault="008D7FC6">
      <w:pPr>
        <w:rPr>
          <w:sz w:val="20"/>
          <w:szCs w:val="20"/>
        </w:rPr>
      </w:pPr>
      <w:r w:rsidRPr="0064652A">
        <w:rPr>
          <w:sz w:val="20"/>
          <w:szCs w:val="20"/>
        </w:rPr>
        <w:t> </w:t>
      </w:r>
    </w:p>
    <w:p w14:paraId="5D8743C6" w14:textId="77777777" w:rsidR="00C820B8" w:rsidRPr="0064652A" w:rsidRDefault="008D7FC6">
      <w:pPr>
        <w:ind w:firstLine="500"/>
        <w:rPr>
          <w:sz w:val="20"/>
          <w:szCs w:val="20"/>
        </w:rPr>
      </w:pPr>
      <w:r w:rsidRPr="0064652A">
        <w:rPr>
          <w:sz w:val="20"/>
          <w:szCs w:val="20"/>
        </w:rPr>
        <w:t>Net cash used by operatin</w:t>
      </w:r>
      <w:r w:rsidRPr="0064652A">
        <w:rPr>
          <w:sz w:val="20"/>
          <w:szCs w:val="20"/>
          <w:shd w:val="clear" w:color="auto" w:fill="FFFFFF"/>
        </w:rPr>
        <w:t xml:space="preserve">g activities was approximately $3.0 million for the </w:t>
      </w:r>
      <w:bookmarkStart w:id="41" w:name="led288631F2022881662680280046"/>
      <w:r w:rsidRPr="0064652A">
        <w:rPr>
          <w:sz w:val="20"/>
          <w:szCs w:val="20"/>
        </w:rPr>
        <w:t>nine month period ended December 31, 2023</w:t>
      </w:r>
      <w:r w:rsidRPr="0064652A">
        <w:rPr>
          <w:sz w:val="20"/>
          <w:szCs w:val="20"/>
          <w:shd w:val="clear" w:color="auto" w:fill="FFFFFF"/>
        </w:rPr>
        <w:t>, resulting from a decrease in advanced deposits of $3.3 million, an increase in inventory of $1.9 million and a decrease in federal taxes payable of $0.3 million partially offset by </w:t>
      </w:r>
      <w:r w:rsidRPr="0064652A">
        <w:rPr>
          <w:sz w:val="20"/>
          <w:szCs w:val="20"/>
        </w:rPr>
        <w:t>the net income generated during the period of $1.6 million, an increase in accounts payable and other current liabilities of $0.6 million, </w:t>
      </w:r>
      <w:r w:rsidRPr="0064652A">
        <w:rPr>
          <w:sz w:val="20"/>
          <w:szCs w:val="20"/>
          <w:shd w:val="clear" w:color="auto" w:fill="FFFFFF"/>
        </w:rPr>
        <w:t>an increase in long-term operating lease liabilities of $0.2 million and an increase in right-of-use assets of $0.1 million.</w:t>
      </w:r>
    </w:p>
    <w:p w14:paraId="293FFB44" w14:textId="77777777" w:rsidR="00C820B8" w:rsidRPr="0064652A" w:rsidRDefault="008D7FC6">
      <w:pPr>
        <w:rPr>
          <w:sz w:val="20"/>
          <w:szCs w:val="20"/>
        </w:rPr>
      </w:pPr>
      <w:r w:rsidRPr="0064652A">
        <w:rPr>
          <w:sz w:val="20"/>
          <w:szCs w:val="20"/>
        </w:rPr>
        <w:t> </w:t>
      </w:r>
    </w:p>
    <w:p w14:paraId="16972E9B" w14:textId="77777777" w:rsidR="00C820B8" w:rsidRPr="0064652A" w:rsidRDefault="008D7FC6">
      <w:pPr>
        <w:ind w:firstLine="500"/>
        <w:rPr>
          <w:sz w:val="20"/>
          <w:szCs w:val="20"/>
        </w:rPr>
      </w:pPr>
      <w:r w:rsidRPr="0064652A">
        <w:rPr>
          <w:sz w:val="20"/>
          <w:szCs w:val="20"/>
          <w:shd w:val="clear" w:color="auto" w:fill="FFFFFF"/>
        </w:rPr>
        <w:t xml:space="preserve">Net cash used by investing activities was $18.6 million for the </w:t>
      </w:r>
      <w:r w:rsidRPr="0064652A">
        <w:rPr>
          <w:sz w:val="20"/>
          <w:szCs w:val="20"/>
        </w:rPr>
        <w:t>nine month period ended December 31, 2023</w:t>
      </w:r>
      <w:r w:rsidRPr="0064652A">
        <w:rPr>
          <w:sz w:val="20"/>
          <w:szCs w:val="20"/>
          <w:shd w:val="clear" w:color="auto" w:fill="FFFFFF"/>
        </w:rPr>
        <w:t> due to purchases of short-term investments of $18.5 million and additions to property and equipment of $0.1 million.</w:t>
      </w:r>
    </w:p>
    <w:p w14:paraId="40E3AE0D" w14:textId="77777777" w:rsidR="00C820B8" w:rsidRPr="0064652A" w:rsidRDefault="008D7FC6">
      <w:pPr>
        <w:rPr>
          <w:sz w:val="20"/>
          <w:szCs w:val="20"/>
        </w:rPr>
      </w:pPr>
      <w:r w:rsidRPr="0064652A">
        <w:rPr>
          <w:sz w:val="20"/>
          <w:szCs w:val="20"/>
        </w:rPr>
        <w:t> </w:t>
      </w:r>
    </w:p>
    <w:p w14:paraId="7998F5F8" w14:textId="77777777" w:rsidR="00C820B8" w:rsidRPr="0064652A" w:rsidRDefault="008D7FC6">
      <w:pPr>
        <w:ind w:firstLine="500"/>
        <w:rPr>
          <w:sz w:val="20"/>
          <w:szCs w:val="20"/>
        </w:rPr>
      </w:pPr>
      <w:r w:rsidRPr="0064652A">
        <w:rPr>
          <w:sz w:val="20"/>
          <w:szCs w:val="20"/>
          <w:shd w:val="clear" w:color="auto" w:fill="FFFFFF"/>
        </w:rPr>
        <w:t>Net cash used by financing activities was nil f</w:t>
      </w:r>
      <w:r w:rsidRPr="0064652A">
        <w:rPr>
          <w:sz w:val="20"/>
          <w:szCs w:val="20"/>
        </w:rPr>
        <w:t>or the nine month period ended December 31, 2023</w:t>
      </w:r>
      <w:bookmarkEnd w:id="41"/>
      <w:r w:rsidRPr="0064652A">
        <w:rPr>
          <w:sz w:val="20"/>
          <w:szCs w:val="20"/>
        </w:rPr>
        <w:t>.</w:t>
      </w:r>
    </w:p>
    <w:p w14:paraId="7C2135B5" w14:textId="77777777" w:rsidR="00C820B8" w:rsidRPr="0064652A" w:rsidRDefault="008D7FC6">
      <w:pPr>
        <w:rPr>
          <w:sz w:val="20"/>
          <w:szCs w:val="20"/>
        </w:rPr>
      </w:pPr>
      <w:r w:rsidRPr="0064652A">
        <w:rPr>
          <w:sz w:val="20"/>
          <w:szCs w:val="20"/>
        </w:rPr>
        <w:t> </w:t>
      </w:r>
    </w:p>
    <w:p w14:paraId="21166275" w14:textId="77777777" w:rsidR="00C820B8" w:rsidRPr="0064652A" w:rsidRDefault="008D7FC6">
      <w:pPr>
        <w:ind w:firstLine="500"/>
        <w:rPr>
          <w:sz w:val="20"/>
          <w:szCs w:val="20"/>
        </w:rPr>
      </w:pPr>
      <w:r w:rsidRPr="0064652A">
        <w:rPr>
          <w:b/>
          <w:bCs/>
          <w:i/>
          <w:iCs/>
          <w:sz w:val="20"/>
          <w:szCs w:val="20"/>
        </w:rPr>
        <w:t>Sources and Uses of Funds</w:t>
      </w:r>
    </w:p>
    <w:p w14:paraId="72CBE629" w14:textId="77777777" w:rsidR="00C820B8" w:rsidRPr="0064652A" w:rsidRDefault="008D7FC6">
      <w:pPr>
        <w:rPr>
          <w:sz w:val="20"/>
          <w:szCs w:val="20"/>
        </w:rPr>
      </w:pPr>
      <w:r w:rsidRPr="0064652A">
        <w:rPr>
          <w:sz w:val="20"/>
          <w:szCs w:val="20"/>
        </w:rPr>
        <w:t> </w:t>
      </w:r>
    </w:p>
    <w:p w14:paraId="1349B3ED" w14:textId="77777777" w:rsidR="00C820B8" w:rsidRPr="0064652A" w:rsidRDefault="008D7FC6">
      <w:pPr>
        <w:ind w:firstLine="500"/>
        <w:rPr>
          <w:sz w:val="20"/>
          <w:szCs w:val="20"/>
        </w:rPr>
      </w:pPr>
      <w:r w:rsidRPr="0064652A">
        <w:rPr>
          <w:sz w:val="20"/>
          <w:szCs w:val="20"/>
        </w:rPr>
        <w:t>The Company’s principal existing sources of cash are generated from operations and its existing short-term deposits. The Company believes that its existing cash balance and sources of cash will be sufficient to support existing operations over the next 12 months.</w:t>
      </w:r>
    </w:p>
    <w:p w14:paraId="0D88367C" w14:textId="77777777" w:rsidR="00C820B8" w:rsidRPr="0064652A" w:rsidRDefault="008D7FC6">
      <w:pPr>
        <w:rPr>
          <w:sz w:val="20"/>
          <w:szCs w:val="20"/>
        </w:rPr>
      </w:pPr>
      <w:r w:rsidRPr="0064652A">
        <w:rPr>
          <w:sz w:val="20"/>
          <w:szCs w:val="20"/>
        </w:rPr>
        <w:t> </w:t>
      </w:r>
    </w:p>
    <w:p w14:paraId="3D9EED0B" w14:textId="77777777" w:rsidR="00C820B8" w:rsidRPr="0064652A" w:rsidRDefault="008D7FC6">
      <w:pPr>
        <w:rPr>
          <w:sz w:val="20"/>
          <w:szCs w:val="20"/>
        </w:rPr>
      </w:pPr>
      <w:r w:rsidRPr="0064652A">
        <w:rPr>
          <w:b/>
          <w:bCs/>
          <w:sz w:val="20"/>
          <w:szCs w:val="20"/>
        </w:rPr>
        <w:t>Off-Balance Sheet Arrangements</w:t>
      </w:r>
    </w:p>
    <w:p w14:paraId="14F8891A" w14:textId="77777777" w:rsidR="00C820B8" w:rsidRPr="0064652A" w:rsidRDefault="008D7FC6">
      <w:pPr>
        <w:rPr>
          <w:sz w:val="20"/>
          <w:szCs w:val="20"/>
        </w:rPr>
      </w:pPr>
      <w:r w:rsidRPr="0064652A">
        <w:rPr>
          <w:sz w:val="20"/>
          <w:szCs w:val="20"/>
        </w:rPr>
        <w:t> </w:t>
      </w:r>
    </w:p>
    <w:p w14:paraId="1DB07693" w14:textId="77777777" w:rsidR="00C820B8" w:rsidRPr="0064652A" w:rsidRDefault="008D7FC6">
      <w:pPr>
        <w:ind w:firstLine="500"/>
        <w:rPr>
          <w:sz w:val="20"/>
          <w:szCs w:val="20"/>
        </w:rPr>
      </w:pPr>
      <w:r w:rsidRPr="0064652A">
        <w:rPr>
          <w:sz w:val="20"/>
          <w:szCs w:val="20"/>
        </w:rPr>
        <w:t>As of December 31, 2023, the Company did not have any off-balance sheet arrangements as defined under the rules of the SEC.</w:t>
      </w:r>
    </w:p>
    <w:p w14:paraId="15C1ADDC" w14:textId="77777777" w:rsidR="00C820B8" w:rsidRPr="0064652A" w:rsidRDefault="008D7FC6">
      <w:pPr>
        <w:rPr>
          <w:sz w:val="20"/>
          <w:szCs w:val="20"/>
        </w:rPr>
      </w:pPr>
      <w:r w:rsidRPr="0064652A">
        <w:rPr>
          <w:sz w:val="20"/>
          <w:szCs w:val="20"/>
        </w:rPr>
        <w:t> </w:t>
      </w:r>
    </w:p>
    <w:p w14:paraId="42379D33" w14:textId="77777777" w:rsidR="00C820B8" w:rsidRPr="0064652A" w:rsidRDefault="008D7FC6">
      <w:pPr>
        <w:rPr>
          <w:sz w:val="20"/>
          <w:szCs w:val="20"/>
        </w:rPr>
      </w:pPr>
      <w:r w:rsidRPr="0064652A">
        <w:rPr>
          <w:b/>
          <w:bCs/>
          <w:sz w:val="20"/>
          <w:szCs w:val="20"/>
        </w:rPr>
        <w:t>Recently Issued Accounting Pronouncements</w:t>
      </w:r>
    </w:p>
    <w:p w14:paraId="6A9683EB" w14:textId="77777777" w:rsidR="00C820B8" w:rsidRPr="0064652A" w:rsidRDefault="008D7FC6">
      <w:pPr>
        <w:rPr>
          <w:sz w:val="20"/>
          <w:szCs w:val="20"/>
        </w:rPr>
      </w:pPr>
      <w:r w:rsidRPr="0064652A">
        <w:rPr>
          <w:sz w:val="20"/>
          <w:szCs w:val="20"/>
        </w:rPr>
        <w:t> </w:t>
      </w:r>
    </w:p>
    <w:p w14:paraId="2B4FB8C5" w14:textId="77777777" w:rsidR="00C820B8" w:rsidRPr="0064652A" w:rsidRDefault="008D7FC6">
      <w:pPr>
        <w:ind w:firstLine="500"/>
        <w:rPr>
          <w:sz w:val="20"/>
          <w:szCs w:val="20"/>
        </w:rPr>
      </w:pPr>
      <w:r w:rsidRPr="0064652A">
        <w:rPr>
          <w:sz w:val="20"/>
          <w:szCs w:val="20"/>
        </w:rPr>
        <w:t>The following ASUs were issued by the FASB which relate to or could relate to the Company as concerns the Company’s normal ongoing operations or the industry in which the Company operates.</w:t>
      </w:r>
    </w:p>
    <w:p w14:paraId="2C7034B6" w14:textId="77777777" w:rsidR="00C820B8" w:rsidRPr="0064652A" w:rsidRDefault="008D7FC6">
      <w:pPr>
        <w:rPr>
          <w:sz w:val="20"/>
          <w:szCs w:val="20"/>
        </w:rPr>
      </w:pPr>
      <w:r w:rsidRPr="0064652A">
        <w:rPr>
          <w:sz w:val="20"/>
          <w:szCs w:val="20"/>
        </w:rPr>
        <w:t> </w:t>
      </w:r>
    </w:p>
    <w:p w14:paraId="67A2E71B" w14:textId="77777777" w:rsidR="00C820B8" w:rsidRPr="0064652A" w:rsidRDefault="008D7FC6">
      <w:pPr>
        <w:ind w:firstLine="500"/>
        <w:rPr>
          <w:sz w:val="20"/>
          <w:szCs w:val="20"/>
        </w:rPr>
      </w:pPr>
      <w:r w:rsidRPr="0064652A">
        <w:rPr>
          <w:b/>
          <w:bCs/>
          <w:i/>
          <w:iCs/>
          <w:sz w:val="20"/>
          <w:szCs w:val="20"/>
        </w:rPr>
        <w:t xml:space="preserve">Accounting Standards Update 2019-12 </w:t>
      </w:r>
      <w:r w:rsidRPr="0064652A">
        <w:rPr>
          <w:i/>
          <w:iCs/>
          <w:sz w:val="20"/>
          <w:szCs w:val="20"/>
        </w:rPr>
        <w:t>“</w:t>
      </w:r>
      <w:r w:rsidRPr="0064652A">
        <w:rPr>
          <w:b/>
          <w:bCs/>
          <w:i/>
          <w:iCs/>
          <w:sz w:val="20"/>
          <w:szCs w:val="20"/>
        </w:rPr>
        <w:t xml:space="preserve">Income Taxes (Topic 740) </w:t>
      </w:r>
      <w:r w:rsidRPr="0064652A">
        <w:rPr>
          <w:i/>
          <w:iCs/>
          <w:sz w:val="20"/>
          <w:szCs w:val="20"/>
        </w:rPr>
        <w:t>–</w:t>
      </w:r>
      <w:r w:rsidRPr="0064652A">
        <w:rPr>
          <w:b/>
          <w:bCs/>
          <w:i/>
          <w:iCs/>
          <w:sz w:val="20"/>
          <w:szCs w:val="20"/>
        </w:rPr>
        <w:t xml:space="preserve"> Simplifying the Accounting for Income Taxes</w:t>
      </w:r>
      <w:r w:rsidRPr="0064652A">
        <w:rPr>
          <w:i/>
          <w:iCs/>
          <w:sz w:val="20"/>
          <w:szCs w:val="20"/>
        </w:rPr>
        <w:t>”</w:t>
      </w:r>
      <w:r w:rsidRPr="0064652A">
        <w:rPr>
          <w:b/>
          <w:bCs/>
          <w:i/>
          <w:iCs/>
          <w:sz w:val="20"/>
          <w:szCs w:val="20"/>
        </w:rPr>
        <w:t xml:space="preserve"> (Issued December 2019)</w:t>
      </w:r>
    </w:p>
    <w:p w14:paraId="6F88F177" w14:textId="77777777" w:rsidR="00C820B8" w:rsidRPr="0064652A" w:rsidRDefault="008D7FC6">
      <w:pPr>
        <w:rPr>
          <w:sz w:val="20"/>
          <w:szCs w:val="20"/>
        </w:rPr>
      </w:pPr>
      <w:r w:rsidRPr="0064652A">
        <w:rPr>
          <w:sz w:val="20"/>
          <w:szCs w:val="20"/>
        </w:rPr>
        <w:t> </w:t>
      </w:r>
    </w:p>
    <w:p w14:paraId="73A44954" w14:textId="77777777" w:rsidR="00C820B8" w:rsidRPr="0064652A" w:rsidRDefault="008D7FC6">
      <w:pPr>
        <w:ind w:firstLine="500"/>
        <w:rPr>
          <w:sz w:val="20"/>
          <w:szCs w:val="20"/>
        </w:rPr>
      </w:pPr>
      <w:r w:rsidRPr="0064652A">
        <w:rPr>
          <w:sz w:val="20"/>
          <w:szCs w:val="20"/>
        </w:rPr>
        <w:t>In December 2019, the FASB issued ASU 2019-12, “Income Taxes (Topic 740) - Simplifying the Accounting for Income Taxes,” which is intended to simplify various aspects related to accounting for income taxes. ASU 2019-12 removes certain exceptions to the general principles in Topic 740 and also clarifies and amends existing guidance to improve consistent application. ASU 2019-12 is effective for fiscal years beginning after December 15, 2020. This standard took effect in the first quarter (June 2021) of the Company’s fiscal year ending March 31, 2022. The adoption of ASU 2019-12 had no material impact on the Company’s consolidated financial statements and related disclosures.</w:t>
      </w:r>
    </w:p>
    <w:p w14:paraId="009E1953" w14:textId="77777777" w:rsidR="00C820B8" w:rsidRPr="0064652A" w:rsidRDefault="008D7FC6">
      <w:pPr>
        <w:rPr>
          <w:sz w:val="20"/>
          <w:szCs w:val="20"/>
        </w:rPr>
      </w:pPr>
      <w:r w:rsidRPr="0064652A">
        <w:rPr>
          <w:sz w:val="20"/>
          <w:szCs w:val="20"/>
        </w:rPr>
        <w:t> </w:t>
      </w:r>
    </w:p>
    <w:p w14:paraId="4C3E37BB" w14:textId="77777777" w:rsidR="00C820B8" w:rsidRPr="0064652A" w:rsidRDefault="008D7FC6">
      <w:pPr>
        <w:ind w:firstLine="500"/>
        <w:rPr>
          <w:sz w:val="20"/>
          <w:szCs w:val="20"/>
        </w:rPr>
      </w:pPr>
      <w:r w:rsidRPr="0064652A">
        <w:rPr>
          <w:b/>
          <w:bCs/>
          <w:i/>
          <w:iCs/>
          <w:sz w:val="20"/>
          <w:szCs w:val="20"/>
        </w:rPr>
        <w:t xml:space="preserve">Accounting Standards Update 2016-13 </w:t>
      </w:r>
      <w:r w:rsidRPr="0064652A">
        <w:rPr>
          <w:i/>
          <w:iCs/>
          <w:sz w:val="20"/>
          <w:szCs w:val="20"/>
        </w:rPr>
        <w:t>“</w:t>
      </w:r>
      <w:r w:rsidRPr="0064652A">
        <w:rPr>
          <w:b/>
          <w:bCs/>
          <w:i/>
          <w:iCs/>
          <w:sz w:val="20"/>
          <w:szCs w:val="20"/>
        </w:rPr>
        <w:t xml:space="preserve">Financial Instruments </w:t>
      </w:r>
      <w:r w:rsidRPr="0064652A">
        <w:rPr>
          <w:i/>
          <w:iCs/>
          <w:sz w:val="20"/>
          <w:szCs w:val="20"/>
        </w:rPr>
        <w:t>–</w:t>
      </w:r>
      <w:r w:rsidRPr="0064652A">
        <w:rPr>
          <w:b/>
          <w:bCs/>
          <w:i/>
          <w:iCs/>
          <w:sz w:val="20"/>
          <w:szCs w:val="20"/>
        </w:rPr>
        <w:t xml:space="preserve"> Credit Losses</w:t>
      </w:r>
      <w:r w:rsidRPr="0064652A">
        <w:rPr>
          <w:i/>
          <w:iCs/>
          <w:sz w:val="20"/>
          <w:szCs w:val="20"/>
        </w:rPr>
        <w:t>”</w:t>
      </w:r>
      <w:r w:rsidRPr="0064652A">
        <w:rPr>
          <w:b/>
          <w:bCs/>
          <w:i/>
          <w:iCs/>
          <w:sz w:val="20"/>
          <w:szCs w:val="20"/>
        </w:rPr>
        <w:t xml:space="preserve"> (Issued June 2016)</w:t>
      </w:r>
    </w:p>
    <w:p w14:paraId="09ECCBB8" w14:textId="77777777" w:rsidR="00C820B8" w:rsidRPr="0064652A" w:rsidRDefault="008D7FC6">
      <w:pPr>
        <w:rPr>
          <w:sz w:val="20"/>
          <w:szCs w:val="20"/>
        </w:rPr>
      </w:pPr>
      <w:r w:rsidRPr="0064652A">
        <w:rPr>
          <w:sz w:val="20"/>
          <w:szCs w:val="20"/>
        </w:rPr>
        <w:t> </w:t>
      </w:r>
    </w:p>
    <w:p w14:paraId="5C4FF50F" w14:textId="77777777" w:rsidR="00C820B8" w:rsidRPr="0064652A" w:rsidRDefault="008D7FC6">
      <w:pPr>
        <w:ind w:firstLine="500"/>
        <w:rPr>
          <w:sz w:val="20"/>
          <w:szCs w:val="20"/>
        </w:rPr>
      </w:pPr>
      <w:r w:rsidRPr="0064652A">
        <w:rPr>
          <w:sz w:val="20"/>
          <w:szCs w:val="20"/>
        </w:rPr>
        <w:t>In June 2016, the FASB issued ASU 2016-13 “Financial Instruments - Credit Losses” to introduce new guidance for the accounting for credit losses on instruments within its scope. ASU 2016-13 requires among other things, the measurement of all expected credit losses for financial assets held at the reporting date based on historical experience, current conditions, and reasonable supportable forecasts. Many of the loss estimation techniques applied today will still be permitted, although the inputs to those techniques will change to reflect the full amount of expected credit losses. In addition, ASU 2016-13 amends the accounting for credit losses on available-for-sale debt securities and purchased financial assets with credit deterioration. ASU 2016-13 is effective for fiscal years and interim periods beginning after December 15, 2022. The adoption of ASU 2016-13 had no material impacts on the Company's financial statements.</w:t>
      </w:r>
    </w:p>
    <w:p w14:paraId="02792887" w14:textId="77777777" w:rsidR="00C820B8" w:rsidRPr="0064652A" w:rsidRDefault="008D7FC6">
      <w:pPr>
        <w:ind w:firstLine="500"/>
        <w:rPr>
          <w:sz w:val="20"/>
          <w:szCs w:val="20"/>
        </w:rPr>
      </w:pPr>
      <w:r w:rsidRPr="0064652A">
        <w:rPr>
          <w:sz w:val="20"/>
          <w:szCs w:val="20"/>
        </w:rPr>
        <w:t> </w:t>
      </w:r>
    </w:p>
    <w:p w14:paraId="7D1481FB" w14:textId="77777777" w:rsidR="00C820B8" w:rsidRPr="0064652A" w:rsidRDefault="008D7FC6">
      <w:pPr>
        <w:jc w:val="center"/>
        <w:rPr>
          <w:sz w:val="20"/>
          <w:szCs w:val="20"/>
        </w:rPr>
      </w:pPr>
      <w:r w:rsidRPr="0064652A">
        <w:rPr>
          <w:sz w:val="20"/>
          <w:szCs w:val="20"/>
        </w:rPr>
        <w:lastRenderedPageBreak/>
        <w:t>18</w:t>
      </w:r>
    </w:p>
    <w:p w14:paraId="16CB6A35"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14B62C94" w14:textId="77777777" w:rsidR="00C820B8" w:rsidRPr="0064652A" w:rsidRDefault="008D7FC6">
      <w:pPr>
        <w:rPr>
          <w:sz w:val="20"/>
          <w:szCs w:val="20"/>
        </w:rPr>
      </w:pPr>
      <w:r w:rsidRPr="0064652A">
        <w:rPr>
          <w:sz w:val="20"/>
          <w:szCs w:val="20"/>
        </w:rPr>
        <w:t> </w:t>
      </w:r>
    </w:p>
    <w:p w14:paraId="2BD8DB85" w14:textId="77777777" w:rsidR="00C820B8" w:rsidRPr="0064652A" w:rsidRDefault="008D7FC6">
      <w:pPr>
        <w:rPr>
          <w:sz w:val="20"/>
          <w:szCs w:val="20"/>
        </w:rPr>
      </w:pPr>
      <w:bookmarkStart w:id="42" w:name="qqdmr"/>
      <w:bookmarkEnd w:id="42"/>
      <w:r w:rsidRPr="0064652A">
        <w:rPr>
          <w:b/>
          <w:bCs/>
          <w:sz w:val="20"/>
          <w:szCs w:val="20"/>
        </w:rPr>
        <w:t>Item</w:t>
      </w:r>
      <w:r w:rsidRPr="0064652A">
        <w:rPr>
          <w:sz w:val="20"/>
          <w:szCs w:val="20"/>
        </w:rPr>
        <w:t> </w:t>
      </w:r>
      <w:r w:rsidRPr="0064652A">
        <w:rPr>
          <w:b/>
          <w:bCs/>
          <w:sz w:val="20"/>
          <w:szCs w:val="20"/>
        </w:rPr>
        <w:t>3. Quantitative and Qualitative Disclosures About Market Risk.</w:t>
      </w:r>
    </w:p>
    <w:p w14:paraId="396A482C" w14:textId="77777777" w:rsidR="00C820B8" w:rsidRPr="0064652A" w:rsidRDefault="008D7FC6">
      <w:pPr>
        <w:rPr>
          <w:sz w:val="20"/>
          <w:szCs w:val="20"/>
        </w:rPr>
      </w:pPr>
      <w:r w:rsidRPr="0064652A">
        <w:rPr>
          <w:sz w:val="20"/>
          <w:szCs w:val="20"/>
        </w:rPr>
        <w:t> </w:t>
      </w:r>
    </w:p>
    <w:p w14:paraId="3D5F8512" w14:textId="77777777" w:rsidR="00C820B8" w:rsidRPr="0064652A" w:rsidRDefault="008D7FC6">
      <w:pPr>
        <w:ind w:firstLine="500"/>
        <w:rPr>
          <w:sz w:val="20"/>
          <w:szCs w:val="20"/>
        </w:rPr>
      </w:pPr>
      <w:r w:rsidRPr="0064652A">
        <w:rPr>
          <w:sz w:val="20"/>
          <w:szCs w:val="20"/>
        </w:rPr>
        <w:t>Not applicable.</w:t>
      </w:r>
    </w:p>
    <w:p w14:paraId="1480C927" w14:textId="77777777" w:rsidR="00C820B8" w:rsidRPr="0064652A" w:rsidRDefault="008D7FC6">
      <w:pPr>
        <w:rPr>
          <w:sz w:val="20"/>
          <w:szCs w:val="20"/>
        </w:rPr>
      </w:pPr>
      <w:r w:rsidRPr="0064652A">
        <w:rPr>
          <w:sz w:val="20"/>
          <w:szCs w:val="20"/>
        </w:rPr>
        <w:t> </w:t>
      </w:r>
    </w:p>
    <w:p w14:paraId="2BB186D4" w14:textId="77777777" w:rsidR="00C820B8" w:rsidRPr="0064652A" w:rsidRDefault="008D7FC6">
      <w:pPr>
        <w:rPr>
          <w:sz w:val="20"/>
          <w:szCs w:val="20"/>
        </w:rPr>
      </w:pPr>
      <w:bookmarkStart w:id="43" w:name="cps"/>
      <w:bookmarkEnd w:id="43"/>
      <w:r w:rsidRPr="0064652A">
        <w:rPr>
          <w:b/>
          <w:bCs/>
          <w:sz w:val="20"/>
          <w:szCs w:val="20"/>
        </w:rPr>
        <w:t>Item</w:t>
      </w:r>
      <w:r w:rsidRPr="0064652A">
        <w:rPr>
          <w:sz w:val="20"/>
          <w:szCs w:val="20"/>
        </w:rPr>
        <w:t> </w:t>
      </w:r>
      <w:r w:rsidRPr="0064652A">
        <w:rPr>
          <w:b/>
          <w:bCs/>
          <w:sz w:val="20"/>
          <w:szCs w:val="20"/>
        </w:rPr>
        <w:t>4. Controls and Procedures.</w:t>
      </w:r>
    </w:p>
    <w:p w14:paraId="548E4C8E" w14:textId="77777777" w:rsidR="00C820B8" w:rsidRPr="0064652A" w:rsidRDefault="008D7FC6">
      <w:pPr>
        <w:rPr>
          <w:sz w:val="20"/>
          <w:szCs w:val="20"/>
        </w:rPr>
      </w:pPr>
      <w:r w:rsidRPr="0064652A">
        <w:rPr>
          <w:sz w:val="20"/>
          <w:szCs w:val="20"/>
        </w:rPr>
        <w:t> </w:t>
      </w:r>
    </w:p>
    <w:p w14:paraId="721BBFBF" w14:textId="77777777" w:rsidR="00C820B8" w:rsidRPr="0064652A" w:rsidRDefault="008D7FC6">
      <w:pPr>
        <w:ind w:left="980" w:hanging="500"/>
        <w:rPr>
          <w:sz w:val="20"/>
          <w:szCs w:val="20"/>
        </w:rPr>
      </w:pPr>
      <w:r w:rsidRPr="0064652A">
        <w:rPr>
          <w:sz w:val="20"/>
          <w:szCs w:val="20"/>
        </w:rPr>
        <w:t xml:space="preserve">(a) </w:t>
      </w:r>
      <w:r w:rsidRPr="0064652A">
        <w:rPr>
          <w:i/>
          <w:iCs/>
          <w:sz w:val="20"/>
          <w:szCs w:val="20"/>
        </w:rPr>
        <w:t>Disclosure controls and procedures</w:t>
      </w:r>
    </w:p>
    <w:p w14:paraId="2D97EC43" w14:textId="77777777" w:rsidR="00C820B8" w:rsidRPr="0064652A" w:rsidRDefault="008D7FC6">
      <w:pPr>
        <w:rPr>
          <w:sz w:val="20"/>
          <w:szCs w:val="20"/>
        </w:rPr>
      </w:pPr>
      <w:r w:rsidRPr="0064652A">
        <w:rPr>
          <w:sz w:val="20"/>
          <w:szCs w:val="20"/>
        </w:rPr>
        <w:t> </w:t>
      </w:r>
    </w:p>
    <w:p w14:paraId="384F9324" w14:textId="77777777" w:rsidR="00C820B8" w:rsidRPr="0064652A" w:rsidRDefault="008D7FC6">
      <w:pPr>
        <w:ind w:firstLine="500"/>
        <w:rPr>
          <w:sz w:val="20"/>
          <w:szCs w:val="20"/>
        </w:rPr>
      </w:pPr>
      <w:r w:rsidRPr="0064652A">
        <w:rPr>
          <w:sz w:val="20"/>
          <w:szCs w:val="20"/>
        </w:rPr>
        <w:t>The Company maintains disclosure controls and procedures (as such term is defined in Rules 13a-15(e) and 15d — 15(e) under the Exchange Act) that are designed to ensure that information required to be disclosed in its Exchange Act reports is recorded, processed, summarized and reported within the time periods specified in the SEC’s rules and forms, and that such information is accumulated and communicated to management, including the Company’s Chief Executive Officer and Chief Financial Officer, as appropriate, to allow timely decisions regarding required disclosure. Due to the inherent limitations of control systems, not all misstatements may be detected. These inherent limitations include the realities that judgments in decision-making can be faulty and that breakdowns can occur because of a simple error or mistake. Additionally, controls can be circumvented by the individual acts of some persons, by collusion of two or more people, or by management override of the control. Our controls and procedures can only provide reasonable, not absolute, assurance that the above objectives have been met.</w:t>
      </w:r>
    </w:p>
    <w:p w14:paraId="5FCCACE2" w14:textId="77777777" w:rsidR="00C820B8" w:rsidRPr="0064652A" w:rsidRDefault="008D7FC6">
      <w:pPr>
        <w:rPr>
          <w:sz w:val="20"/>
          <w:szCs w:val="20"/>
        </w:rPr>
      </w:pPr>
      <w:r w:rsidRPr="0064652A">
        <w:rPr>
          <w:sz w:val="20"/>
          <w:szCs w:val="20"/>
        </w:rPr>
        <w:t> </w:t>
      </w:r>
    </w:p>
    <w:p w14:paraId="4A114E04" w14:textId="77777777" w:rsidR="00C820B8" w:rsidRPr="0064652A" w:rsidRDefault="008D7FC6">
      <w:pPr>
        <w:ind w:firstLine="500"/>
        <w:rPr>
          <w:sz w:val="20"/>
          <w:szCs w:val="20"/>
        </w:rPr>
      </w:pPr>
      <w:r w:rsidRPr="0064652A">
        <w:rPr>
          <w:sz w:val="20"/>
          <w:szCs w:val="20"/>
        </w:rPr>
        <w:t>The Company’s management, with the participation of our Chief Executive Officer and Chief Financial Officer, concluded that disclosure controls and procedures (as such term is defined in Rules 13a-15(e) and 15d-15(e) under the Exchange Act), as of December 31, 2023</w:t>
      </w:r>
      <w:bookmarkEnd w:id="9"/>
      <w:r w:rsidRPr="0064652A">
        <w:rPr>
          <w:sz w:val="20"/>
          <w:szCs w:val="20"/>
        </w:rPr>
        <w:t>, are effective to provide reasonable assurance that information required to be disclosed in the reports that the Company files or submits under the Exchange Act is recorded, processed, summarized and reported, within the time periods specified in the SEC’s rules and forms and that such information is accumulated and communicated to management, including the Company’s principal executive officer and principal financial officer, as appropriate, to allow timely decisions regarding required disclosure.</w:t>
      </w:r>
    </w:p>
    <w:p w14:paraId="14EAC938" w14:textId="77777777" w:rsidR="00C820B8" w:rsidRPr="0064652A" w:rsidRDefault="008D7FC6">
      <w:pPr>
        <w:rPr>
          <w:sz w:val="20"/>
          <w:szCs w:val="20"/>
        </w:rPr>
      </w:pPr>
      <w:r w:rsidRPr="0064652A">
        <w:rPr>
          <w:sz w:val="20"/>
          <w:szCs w:val="20"/>
        </w:rPr>
        <w:t> </w:t>
      </w:r>
    </w:p>
    <w:p w14:paraId="0E36340D" w14:textId="77777777" w:rsidR="00C820B8" w:rsidRPr="0064652A" w:rsidRDefault="008D7FC6">
      <w:pPr>
        <w:ind w:left="980" w:hanging="500"/>
        <w:rPr>
          <w:sz w:val="20"/>
          <w:szCs w:val="20"/>
        </w:rPr>
      </w:pPr>
      <w:r w:rsidRPr="0064652A">
        <w:rPr>
          <w:sz w:val="20"/>
          <w:szCs w:val="20"/>
        </w:rPr>
        <w:t xml:space="preserve">(b) </w:t>
      </w:r>
      <w:r w:rsidRPr="0064652A">
        <w:rPr>
          <w:i/>
          <w:iCs/>
          <w:sz w:val="20"/>
          <w:szCs w:val="20"/>
        </w:rPr>
        <w:t>Changes in Internal Controls Over Financial Reporting</w:t>
      </w:r>
    </w:p>
    <w:p w14:paraId="50778DDF" w14:textId="77777777" w:rsidR="00C820B8" w:rsidRPr="0064652A" w:rsidRDefault="008D7FC6">
      <w:pPr>
        <w:rPr>
          <w:sz w:val="20"/>
          <w:szCs w:val="20"/>
        </w:rPr>
      </w:pPr>
      <w:r w:rsidRPr="0064652A">
        <w:rPr>
          <w:sz w:val="20"/>
          <w:szCs w:val="20"/>
        </w:rPr>
        <w:t> </w:t>
      </w:r>
    </w:p>
    <w:p w14:paraId="158A71DD" w14:textId="77777777" w:rsidR="00C820B8" w:rsidRPr="0064652A" w:rsidRDefault="008D7FC6">
      <w:pPr>
        <w:ind w:firstLine="500"/>
        <w:rPr>
          <w:sz w:val="20"/>
          <w:szCs w:val="20"/>
        </w:rPr>
      </w:pPr>
      <w:r w:rsidRPr="0064652A">
        <w:rPr>
          <w:sz w:val="20"/>
          <w:szCs w:val="20"/>
        </w:rPr>
        <w:t>There have been no changes in the Company’s internal control over financial reporting (as defined in Rules 13a-15(f) and 15d-15(f) under the Exchange Act) that occurred during the fiscal quarter ended </w:t>
      </w:r>
      <w:bookmarkStart w:id="44" w:name="led288631F2022881662680318164"/>
      <w:r w:rsidRPr="0064652A">
        <w:rPr>
          <w:sz w:val="20"/>
          <w:szCs w:val="20"/>
        </w:rPr>
        <w:t>December 31, 2023</w:t>
      </w:r>
      <w:bookmarkEnd w:id="44"/>
      <w:r w:rsidRPr="0064652A">
        <w:rPr>
          <w:sz w:val="20"/>
          <w:szCs w:val="20"/>
        </w:rPr>
        <w:t xml:space="preserve"> that have materially affected, or are reasonably likely to materially affect, the Company’s internal control over financial reporting.</w:t>
      </w:r>
    </w:p>
    <w:p w14:paraId="7B3EFA8E" w14:textId="77777777" w:rsidR="00C820B8" w:rsidRPr="0064652A" w:rsidRDefault="008D7FC6">
      <w:pPr>
        <w:jc w:val="center"/>
        <w:rPr>
          <w:sz w:val="20"/>
          <w:szCs w:val="20"/>
        </w:rPr>
      </w:pPr>
      <w:r w:rsidRPr="0064652A">
        <w:rPr>
          <w:sz w:val="20"/>
          <w:szCs w:val="20"/>
        </w:rPr>
        <w:t> </w:t>
      </w:r>
    </w:p>
    <w:p w14:paraId="3A1F2088" w14:textId="77777777" w:rsidR="00C820B8" w:rsidRPr="0064652A" w:rsidRDefault="008D7FC6">
      <w:pPr>
        <w:jc w:val="center"/>
        <w:rPr>
          <w:sz w:val="20"/>
          <w:szCs w:val="20"/>
        </w:rPr>
      </w:pPr>
      <w:r w:rsidRPr="0064652A">
        <w:rPr>
          <w:sz w:val="20"/>
          <w:szCs w:val="20"/>
        </w:rPr>
        <w:t>19</w:t>
      </w:r>
    </w:p>
    <w:p w14:paraId="572FE07D"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62C40881" w14:textId="77777777" w:rsidR="00C820B8" w:rsidRPr="0064652A" w:rsidRDefault="008D7FC6">
      <w:pPr>
        <w:rPr>
          <w:sz w:val="20"/>
          <w:szCs w:val="20"/>
        </w:rPr>
      </w:pPr>
      <w:r w:rsidRPr="0064652A">
        <w:rPr>
          <w:sz w:val="20"/>
          <w:szCs w:val="20"/>
        </w:rPr>
        <w:t> </w:t>
      </w:r>
    </w:p>
    <w:p w14:paraId="158728B0" w14:textId="77777777" w:rsidR="00C820B8" w:rsidRPr="0064652A" w:rsidRDefault="008D7FC6">
      <w:pPr>
        <w:jc w:val="center"/>
        <w:rPr>
          <w:sz w:val="20"/>
          <w:szCs w:val="20"/>
        </w:rPr>
      </w:pPr>
      <w:bookmarkStart w:id="45" w:name="partii"/>
      <w:bookmarkEnd w:id="45"/>
      <w:r w:rsidRPr="0064652A">
        <w:rPr>
          <w:b/>
          <w:bCs/>
          <w:sz w:val="20"/>
          <w:szCs w:val="20"/>
        </w:rPr>
        <w:t xml:space="preserve">PART II </w:t>
      </w:r>
      <w:r w:rsidRPr="0064652A">
        <w:rPr>
          <w:sz w:val="20"/>
          <w:szCs w:val="20"/>
        </w:rPr>
        <w:t>—</w:t>
      </w:r>
      <w:r w:rsidRPr="0064652A">
        <w:rPr>
          <w:b/>
          <w:bCs/>
          <w:sz w:val="20"/>
          <w:szCs w:val="20"/>
        </w:rPr>
        <w:t xml:space="preserve"> OTHER INFORMATION</w:t>
      </w:r>
    </w:p>
    <w:p w14:paraId="7D30AA05" w14:textId="77777777" w:rsidR="00C820B8" w:rsidRPr="0064652A" w:rsidRDefault="008D7FC6">
      <w:pPr>
        <w:rPr>
          <w:sz w:val="20"/>
          <w:szCs w:val="20"/>
        </w:rPr>
      </w:pPr>
      <w:r w:rsidRPr="0064652A">
        <w:rPr>
          <w:sz w:val="20"/>
          <w:szCs w:val="20"/>
        </w:rPr>
        <w:t> </w:t>
      </w:r>
    </w:p>
    <w:p w14:paraId="4EF789F6" w14:textId="77777777" w:rsidR="00C820B8" w:rsidRPr="0064652A" w:rsidRDefault="008D7FC6">
      <w:pPr>
        <w:rPr>
          <w:sz w:val="20"/>
          <w:szCs w:val="20"/>
        </w:rPr>
      </w:pPr>
      <w:bookmarkStart w:id="46" w:name="legal"/>
      <w:bookmarkEnd w:id="46"/>
      <w:r w:rsidRPr="0064652A">
        <w:rPr>
          <w:b/>
          <w:bCs/>
          <w:sz w:val="20"/>
          <w:szCs w:val="20"/>
        </w:rPr>
        <w:t>Item</w:t>
      </w:r>
      <w:r w:rsidRPr="0064652A">
        <w:rPr>
          <w:sz w:val="20"/>
          <w:szCs w:val="20"/>
        </w:rPr>
        <w:t> </w:t>
      </w:r>
      <w:r w:rsidRPr="0064652A">
        <w:rPr>
          <w:b/>
          <w:bCs/>
          <w:sz w:val="20"/>
          <w:szCs w:val="20"/>
        </w:rPr>
        <w:t>1. Legal Proceedings.</w:t>
      </w:r>
    </w:p>
    <w:p w14:paraId="09747DDC" w14:textId="77777777" w:rsidR="00C820B8" w:rsidRPr="0064652A" w:rsidRDefault="008D7FC6">
      <w:pPr>
        <w:rPr>
          <w:sz w:val="20"/>
          <w:szCs w:val="20"/>
        </w:rPr>
      </w:pPr>
      <w:r w:rsidRPr="0064652A">
        <w:rPr>
          <w:sz w:val="20"/>
          <w:szCs w:val="20"/>
        </w:rPr>
        <w:t> </w:t>
      </w:r>
    </w:p>
    <w:p w14:paraId="550D0C14" w14:textId="77777777" w:rsidR="00C820B8" w:rsidRPr="0064652A" w:rsidRDefault="008D7FC6">
      <w:pPr>
        <w:ind w:firstLine="500"/>
        <w:rPr>
          <w:sz w:val="20"/>
          <w:szCs w:val="20"/>
        </w:rPr>
      </w:pPr>
      <w:r w:rsidRPr="0064652A">
        <w:rPr>
          <w:sz w:val="20"/>
          <w:szCs w:val="20"/>
        </w:rPr>
        <w:t>The Company is, and from time to time may become, involved in legal proceedings, in most cases involving ordinary and routine claims incidental to its business. Management cannot estimate with certainty the Company’s ultimate legal and financial liability with respect to any such pending litigation matters. However, management believes, based on its examination of such matters, that the Company is not currently involved in any legal proceedings that, if determined adversely to the Company, would have a material adverse effect on the Company’s financial position, results of operations or cash flows. Information relating to our ongoing legal proceedings is described in Note 11 to our condensed consolidated financial statements in Part I, Item I of this Quarterly Report on Form 10-Q.</w:t>
      </w:r>
    </w:p>
    <w:p w14:paraId="70954D14" w14:textId="77777777" w:rsidR="00C820B8" w:rsidRPr="0064652A" w:rsidRDefault="008D7FC6">
      <w:pPr>
        <w:rPr>
          <w:sz w:val="20"/>
          <w:szCs w:val="20"/>
        </w:rPr>
      </w:pPr>
      <w:r w:rsidRPr="0064652A">
        <w:rPr>
          <w:sz w:val="20"/>
          <w:szCs w:val="20"/>
        </w:rPr>
        <w:t> </w:t>
      </w:r>
    </w:p>
    <w:p w14:paraId="2ABAF519" w14:textId="77777777" w:rsidR="00C820B8" w:rsidRPr="0064652A" w:rsidRDefault="008D7FC6">
      <w:pPr>
        <w:rPr>
          <w:sz w:val="20"/>
          <w:szCs w:val="20"/>
        </w:rPr>
      </w:pPr>
      <w:bookmarkStart w:id="47" w:name="risks"/>
      <w:bookmarkEnd w:id="47"/>
      <w:r w:rsidRPr="0064652A">
        <w:rPr>
          <w:b/>
          <w:bCs/>
          <w:sz w:val="20"/>
          <w:szCs w:val="20"/>
        </w:rPr>
        <w:t>Item</w:t>
      </w:r>
      <w:r w:rsidRPr="0064652A">
        <w:rPr>
          <w:sz w:val="20"/>
          <w:szCs w:val="20"/>
        </w:rPr>
        <w:t> </w:t>
      </w:r>
      <w:r w:rsidRPr="0064652A">
        <w:rPr>
          <w:b/>
          <w:bCs/>
          <w:sz w:val="20"/>
          <w:szCs w:val="20"/>
        </w:rPr>
        <w:t>1A. Risk Factors.</w:t>
      </w:r>
    </w:p>
    <w:p w14:paraId="61598B3C" w14:textId="77777777" w:rsidR="00C820B8" w:rsidRPr="0064652A" w:rsidRDefault="008D7FC6">
      <w:pPr>
        <w:rPr>
          <w:sz w:val="20"/>
          <w:szCs w:val="20"/>
        </w:rPr>
      </w:pPr>
      <w:r w:rsidRPr="0064652A">
        <w:rPr>
          <w:sz w:val="20"/>
          <w:szCs w:val="20"/>
        </w:rPr>
        <w:t> </w:t>
      </w:r>
    </w:p>
    <w:p w14:paraId="433F5DC1" w14:textId="77777777" w:rsidR="00C820B8" w:rsidRPr="0064652A" w:rsidRDefault="008D7FC6">
      <w:pPr>
        <w:ind w:firstLine="500"/>
        <w:rPr>
          <w:sz w:val="20"/>
          <w:szCs w:val="20"/>
        </w:rPr>
      </w:pPr>
      <w:r w:rsidRPr="0064652A">
        <w:rPr>
          <w:sz w:val="20"/>
          <w:szCs w:val="20"/>
        </w:rPr>
        <w:t>There have been no material changes to the risk factors contained in Part I, Item 1A, “Risk Factors” in the Company’s Annual Report on Form 10-K, as amended, for the year ended March 31, 2023</w:t>
      </w:r>
      <w:bookmarkEnd w:id="11"/>
      <w:r w:rsidRPr="0064652A">
        <w:rPr>
          <w:sz w:val="20"/>
          <w:szCs w:val="20"/>
        </w:rPr>
        <w:t>.</w:t>
      </w:r>
    </w:p>
    <w:p w14:paraId="70FC9099" w14:textId="77777777" w:rsidR="00C820B8" w:rsidRPr="0064652A" w:rsidRDefault="008D7FC6">
      <w:pPr>
        <w:rPr>
          <w:sz w:val="20"/>
          <w:szCs w:val="20"/>
        </w:rPr>
      </w:pPr>
      <w:r w:rsidRPr="0064652A">
        <w:rPr>
          <w:sz w:val="20"/>
          <w:szCs w:val="20"/>
        </w:rPr>
        <w:t> </w:t>
      </w:r>
    </w:p>
    <w:p w14:paraId="24443578" w14:textId="77777777" w:rsidR="00C820B8" w:rsidRPr="0064652A" w:rsidRDefault="008D7FC6">
      <w:pPr>
        <w:rPr>
          <w:sz w:val="20"/>
          <w:szCs w:val="20"/>
        </w:rPr>
      </w:pPr>
      <w:bookmarkStart w:id="48" w:name="uses"/>
      <w:bookmarkEnd w:id="48"/>
      <w:r w:rsidRPr="0064652A">
        <w:rPr>
          <w:b/>
          <w:bCs/>
          <w:sz w:val="20"/>
          <w:szCs w:val="20"/>
        </w:rPr>
        <w:t>Item</w:t>
      </w:r>
      <w:r w:rsidRPr="0064652A">
        <w:rPr>
          <w:sz w:val="20"/>
          <w:szCs w:val="20"/>
        </w:rPr>
        <w:t> </w:t>
      </w:r>
      <w:r w:rsidRPr="0064652A">
        <w:rPr>
          <w:b/>
          <w:bCs/>
          <w:sz w:val="20"/>
          <w:szCs w:val="20"/>
        </w:rPr>
        <w:t>2. Unregistered Sales of Equity Securities and Use of Proceeds.</w:t>
      </w:r>
    </w:p>
    <w:p w14:paraId="67C4080B" w14:textId="77777777" w:rsidR="00C820B8" w:rsidRPr="0064652A" w:rsidRDefault="008D7FC6">
      <w:pPr>
        <w:rPr>
          <w:sz w:val="20"/>
          <w:szCs w:val="20"/>
        </w:rPr>
      </w:pPr>
      <w:r w:rsidRPr="0064652A">
        <w:rPr>
          <w:sz w:val="20"/>
          <w:szCs w:val="20"/>
        </w:rPr>
        <w:t> </w:t>
      </w:r>
    </w:p>
    <w:p w14:paraId="66758AD3" w14:textId="77777777" w:rsidR="00C820B8" w:rsidRPr="0064652A" w:rsidRDefault="008D7FC6">
      <w:pPr>
        <w:ind w:firstLine="500"/>
        <w:rPr>
          <w:sz w:val="20"/>
          <w:szCs w:val="20"/>
        </w:rPr>
      </w:pPr>
      <w:r w:rsidRPr="0064652A">
        <w:rPr>
          <w:sz w:val="20"/>
          <w:szCs w:val="20"/>
        </w:rPr>
        <w:t>None</w:t>
      </w:r>
    </w:p>
    <w:p w14:paraId="465BB205" w14:textId="77777777" w:rsidR="00C820B8" w:rsidRPr="0064652A" w:rsidRDefault="008D7FC6">
      <w:pPr>
        <w:rPr>
          <w:sz w:val="20"/>
          <w:szCs w:val="20"/>
        </w:rPr>
      </w:pPr>
      <w:r w:rsidRPr="0064652A">
        <w:rPr>
          <w:sz w:val="20"/>
          <w:szCs w:val="20"/>
        </w:rPr>
        <w:t> </w:t>
      </w:r>
    </w:p>
    <w:p w14:paraId="46C93CD6" w14:textId="77777777" w:rsidR="00C820B8" w:rsidRPr="0064652A" w:rsidRDefault="008D7FC6">
      <w:pPr>
        <w:rPr>
          <w:sz w:val="20"/>
          <w:szCs w:val="20"/>
        </w:rPr>
      </w:pPr>
      <w:bookmarkStart w:id="49" w:name="duss"/>
      <w:bookmarkEnd w:id="49"/>
      <w:r w:rsidRPr="0064652A">
        <w:rPr>
          <w:b/>
          <w:bCs/>
          <w:sz w:val="20"/>
          <w:szCs w:val="20"/>
        </w:rPr>
        <w:t>Item</w:t>
      </w:r>
      <w:r w:rsidRPr="0064652A">
        <w:rPr>
          <w:sz w:val="20"/>
          <w:szCs w:val="20"/>
        </w:rPr>
        <w:t> </w:t>
      </w:r>
      <w:r w:rsidRPr="0064652A">
        <w:rPr>
          <w:b/>
          <w:bCs/>
          <w:sz w:val="20"/>
          <w:szCs w:val="20"/>
        </w:rPr>
        <w:t>3. Defaults Upon Senior Securities.</w:t>
      </w:r>
    </w:p>
    <w:p w14:paraId="312FC179" w14:textId="77777777" w:rsidR="00C820B8" w:rsidRPr="0064652A" w:rsidRDefault="008D7FC6">
      <w:pPr>
        <w:rPr>
          <w:sz w:val="20"/>
          <w:szCs w:val="20"/>
        </w:rPr>
      </w:pPr>
      <w:r w:rsidRPr="0064652A">
        <w:rPr>
          <w:sz w:val="20"/>
          <w:szCs w:val="20"/>
        </w:rPr>
        <w:t> </w:t>
      </w:r>
    </w:p>
    <w:p w14:paraId="101E0FBC" w14:textId="77777777" w:rsidR="00C820B8" w:rsidRPr="0064652A" w:rsidRDefault="008D7FC6">
      <w:pPr>
        <w:ind w:firstLine="500"/>
        <w:rPr>
          <w:sz w:val="20"/>
          <w:szCs w:val="20"/>
        </w:rPr>
      </w:pPr>
      <w:r w:rsidRPr="0064652A">
        <w:rPr>
          <w:sz w:val="20"/>
          <w:szCs w:val="20"/>
        </w:rPr>
        <w:t>(a) None</w:t>
      </w:r>
    </w:p>
    <w:p w14:paraId="6C4E4B6D" w14:textId="77777777" w:rsidR="00C820B8" w:rsidRPr="0064652A" w:rsidRDefault="008D7FC6">
      <w:pPr>
        <w:ind w:firstLine="500"/>
        <w:rPr>
          <w:sz w:val="20"/>
          <w:szCs w:val="20"/>
        </w:rPr>
      </w:pPr>
      <w:r w:rsidRPr="0064652A">
        <w:rPr>
          <w:sz w:val="20"/>
          <w:szCs w:val="20"/>
        </w:rPr>
        <w:t>(b) None</w:t>
      </w:r>
    </w:p>
    <w:p w14:paraId="12B09447" w14:textId="77777777" w:rsidR="00C820B8" w:rsidRPr="0064652A" w:rsidRDefault="008D7FC6">
      <w:pPr>
        <w:rPr>
          <w:sz w:val="20"/>
          <w:szCs w:val="20"/>
        </w:rPr>
      </w:pPr>
      <w:r w:rsidRPr="0064652A">
        <w:rPr>
          <w:sz w:val="20"/>
          <w:szCs w:val="20"/>
        </w:rPr>
        <w:t> </w:t>
      </w:r>
    </w:p>
    <w:p w14:paraId="1B352F0D" w14:textId="77777777" w:rsidR="00C820B8" w:rsidRPr="0064652A" w:rsidRDefault="008D7FC6">
      <w:pPr>
        <w:rPr>
          <w:sz w:val="20"/>
          <w:szCs w:val="20"/>
        </w:rPr>
      </w:pPr>
      <w:bookmarkStart w:id="50" w:name="msd"/>
      <w:bookmarkEnd w:id="50"/>
      <w:r w:rsidRPr="0064652A">
        <w:rPr>
          <w:b/>
          <w:bCs/>
          <w:sz w:val="20"/>
          <w:szCs w:val="20"/>
        </w:rPr>
        <w:t>Item</w:t>
      </w:r>
      <w:r w:rsidRPr="0064652A">
        <w:rPr>
          <w:sz w:val="20"/>
          <w:szCs w:val="20"/>
        </w:rPr>
        <w:t> </w:t>
      </w:r>
      <w:r w:rsidRPr="0064652A">
        <w:rPr>
          <w:b/>
          <w:bCs/>
          <w:sz w:val="20"/>
          <w:szCs w:val="20"/>
        </w:rPr>
        <w:t>4. Mine Safety Disclosure.</w:t>
      </w:r>
    </w:p>
    <w:p w14:paraId="625AD598" w14:textId="77777777" w:rsidR="00C820B8" w:rsidRPr="0064652A" w:rsidRDefault="008D7FC6">
      <w:pPr>
        <w:rPr>
          <w:sz w:val="20"/>
          <w:szCs w:val="20"/>
        </w:rPr>
      </w:pPr>
      <w:r w:rsidRPr="0064652A">
        <w:rPr>
          <w:sz w:val="20"/>
          <w:szCs w:val="20"/>
        </w:rPr>
        <w:t> </w:t>
      </w:r>
    </w:p>
    <w:p w14:paraId="51C11A2F" w14:textId="77777777" w:rsidR="00C820B8" w:rsidRPr="0064652A" w:rsidRDefault="008D7FC6">
      <w:pPr>
        <w:ind w:firstLine="500"/>
        <w:rPr>
          <w:sz w:val="20"/>
          <w:szCs w:val="20"/>
        </w:rPr>
      </w:pPr>
      <w:r w:rsidRPr="0064652A">
        <w:rPr>
          <w:b/>
          <w:bCs/>
          <w:sz w:val="20"/>
          <w:szCs w:val="20"/>
        </w:rPr>
        <w:t>Not applicable.</w:t>
      </w:r>
    </w:p>
    <w:p w14:paraId="7816617A" w14:textId="77777777" w:rsidR="00C820B8" w:rsidRPr="0064652A" w:rsidRDefault="008D7FC6">
      <w:pPr>
        <w:rPr>
          <w:sz w:val="20"/>
          <w:szCs w:val="20"/>
        </w:rPr>
      </w:pPr>
      <w:r w:rsidRPr="0064652A">
        <w:rPr>
          <w:sz w:val="20"/>
          <w:szCs w:val="20"/>
        </w:rPr>
        <w:t> </w:t>
      </w:r>
    </w:p>
    <w:p w14:paraId="0DA66E73" w14:textId="77777777" w:rsidR="00C820B8" w:rsidRPr="0064652A" w:rsidRDefault="008D7FC6">
      <w:r w:rsidRPr="0064652A">
        <w:t> </w:t>
      </w:r>
    </w:p>
    <w:p w14:paraId="44E7DF42" w14:textId="77777777" w:rsidR="00C820B8" w:rsidRPr="0064652A" w:rsidRDefault="008D7FC6">
      <w:pPr>
        <w:rPr>
          <w:sz w:val="20"/>
          <w:szCs w:val="20"/>
        </w:rPr>
      </w:pPr>
      <w:bookmarkStart w:id="51" w:name="oi"/>
      <w:bookmarkEnd w:id="51"/>
      <w:r w:rsidRPr="0064652A">
        <w:rPr>
          <w:b/>
          <w:bCs/>
          <w:sz w:val="20"/>
          <w:szCs w:val="20"/>
        </w:rPr>
        <w:t>Item</w:t>
      </w:r>
      <w:r w:rsidRPr="0064652A">
        <w:rPr>
          <w:sz w:val="20"/>
          <w:szCs w:val="20"/>
        </w:rPr>
        <w:t> </w:t>
      </w:r>
      <w:r w:rsidRPr="0064652A">
        <w:rPr>
          <w:b/>
          <w:bCs/>
          <w:sz w:val="20"/>
          <w:szCs w:val="20"/>
        </w:rPr>
        <w:t>5. Other Information.</w:t>
      </w:r>
    </w:p>
    <w:p w14:paraId="0E6CCAA2" w14:textId="77777777" w:rsidR="00C820B8" w:rsidRPr="0064652A" w:rsidRDefault="008D7FC6">
      <w:pPr>
        <w:rPr>
          <w:sz w:val="20"/>
          <w:szCs w:val="20"/>
        </w:rPr>
      </w:pPr>
      <w:r w:rsidRPr="0064652A">
        <w:rPr>
          <w:sz w:val="20"/>
          <w:szCs w:val="20"/>
        </w:rPr>
        <w:t> </w:t>
      </w:r>
    </w:p>
    <w:p w14:paraId="7EA672A7" w14:textId="77777777" w:rsidR="00C820B8" w:rsidRPr="0064652A" w:rsidRDefault="008D7FC6">
      <w:pPr>
        <w:ind w:firstLine="500"/>
        <w:rPr>
          <w:sz w:val="20"/>
          <w:szCs w:val="20"/>
        </w:rPr>
      </w:pPr>
      <w:r w:rsidRPr="0064652A">
        <w:rPr>
          <w:sz w:val="20"/>
          <w:szCs w:val="20"/>
        </w:rPr>
        <w:t>(a) None</w:t>
      </w:r>
    </w:p>
    <w:p w14:paraId="52896DA6" w14:textId="77777777" w:rsidR="00C820B8" w:rsidRPr="0064652A" w:rsidRDefault="008D7FC6">
      <w:pPr>
        <w:ind w:firstLine="500"/>
        <w:rPr>
          <w:sz w:val="20"/>
          <w:szCs w:val="20"/>
        </w:rPr>
      </w:pPr>
      <w:r w:rsidRPr="0064652A">
        <w:rPr>
          <w:sz w:val="20"/>
          <w:szCs w:val="20"/>
        </w:rPr>
        <w:t>(b) None</w:t>
      </w:r>
    </w:p>
    <w:p w14:paraId="7D40523E" w14:textId="77777777" w:rsidR="00C820B8" w:rsidRPr="0064652A" w:rsidRDefault="008D7FC6">
      <w:pPr>
        <w:ind w:firstLine="500"/>
        <w:rPr>
          <w:sz w:val="20"/>
          <w:szCs w:val="20"/>
        </w:rPr>
      </w:pPr>
      <w:r w:rsidRPr="0064652A">
        <w:rPr>
          <w:sz w:val="20"/>
          <w:szCs w:val="20"/>
        </w:rPr>
        <w:t>(c) None</w:t>
      </w:r>
    </w:p>
    <w:p w14:paraId="27A005AB" w14:textId="77777777" w:rsidR="00C820B8" w:rsidRPr="0064652A" w:rsidRDefault="008D7FC6">
      <w:pPr>
        <w:rPr>
          <w:sz w:val="20"/>
          <w:szCs w:val="20"/>
        </w:rPr>
      </w:pPr>
      <w:r w:rsidRPr="0064652A">
        <w:rPr>
          <w:sz w:val="20"/>
          <w:szCs w:val="20"/>
        </w:rPr>
        <w:t> </w:t>
      </w:r>
    </w:p>
    <w:p w14:paraId="41062F63" w14:textId="77777777" w:rsidR="00C820B8" w:rsidRPr="0064652A" w:rsidRDefault="008D7FC6">
      <w:r w:rsidRPr="0064652A">
        <w:t> </w:t>
      </w:r>
    </w:p>
    <w:p w14:paraId="2554C0A2" w14:textId="77777777" w:rsidR="00C820B8" w:rsidRPr="0064652A" w:rsidRDefault="008D7FC6">
      <w:pPr>
        <w:rPr>
          <w:sz w:val="20"/>
          <w:szCs w:val="20"/>
        </w:rPr>
      </w:pPr>
      <w:bookmarkStart w:id="52" w:name="exs"/>
      <w:bookmarkEnd w:id="52"/>
      <w:r w:rsidRPr="0064652A">
        <w:rPr>
          <w:b/>
          <w:bCs/>
          <w:sz w:val="20"/>
          <w:szCs w:val="20"/>
        </w:rPr>
        <w:t>Item</w:t>
      </w:r>
      <w:r w:rsidRPr="0064652A">
        <w:rPr>
          <w:sz w:val="20"/>
          <w:szCs w:val="20"/>
        </w:rPr>
        <w:t> </w:t>
      </w:r>
      <w:r w:rsidRPr="0064652A">
        <w:rPr>
          <w:b/>
          <w:bCs/>
          <w:sz w:val="20"/>
          <w:szCs w:val="20"/>
        </w:rPr>
        <w:t>6. Exhibits.</w:t>
      </w:r>
    </w:p>
    <w:p w14:paraId="3F6ECE42" w14:textId="77777777" w:rsidR="00C820B8" w:rsidRPr="0064652A" w:rsidRDefault="008D7FC6">
      <w:pPr>
        <w:rPr>
          <w:sz w:val="20"/>
          <w:szCs w:val="20"/>
        </w:rPr>
      </w:pPr>
      <w:r w:rsidRPr="0064652A">
        <w:rPr>
          <w:sz w:val="20"/>
          <w:szCs w:val="20"/>
        </w:rPr>
        <w:t> </w:t>
      </w:r>
    </w:p>
    <w:tbl>
      <w:tblPr>
        <w:tblW w:w="5000" w:type="pct"/>
        <w:jc w:val="center"/>
        <w:tblCellMar>
          <w:left w:w="0" w:type="dxa"/>
          <w:right w:w="0" w:type="dxa"/>
        </w:tblCellMar>
        <w:tblLook w:val="04A0" w:firstRow="1" w:lastRow="0" w:firstColumn="1" w:lastColumn="0" w:noHBand="0" w:noVBand="1"/>
      </w:tblPr>
      <w:tblGrid>
        <w:gridCol w:w="760"/>
        <w:gridCol w:w="10040"/>
      </w:tblGrid>
      <w:tr w:rsidR="00C820B8" w:rsidRPr="0064652A" w14:paraId="056FD52E" w14:textId="77777777">
        <w:trPr>
          <w:jc w:val="center"/>
        </w:trPr>
        <w:tc>
          <w:tcPr>
            <w:tcW w:w="300" w:type="pct"/>
            <w:tcMar>
              <w:top w:w="5" w:type="dxa"/>
              <w:left w:w="5" w:type="dxa"/>
              <w:bottom w:w="5" w:type="dxa"/>
              <w:right w:w="5" w:type="dxa"/>
            </w:tcMar>
            <w:vAlign w:val="center"/>
            <w:hideMark/>
          </w:tcPr>
          <w:p w14:paraId="18EB97CA" w14:textId="77777777" w:rsidR="00C820B8" w:rsidRPr="0064652A" w:rsidRDefault="008D7FC6">
            <w:pPr>
              <w:rPr>
                <w:color w:val="000000"/>
                <w:sz w:val="20"/>
                <w:szCs w:val="20"/>
              </w:rPr>
            </w:pPr>
            <w:r w:rsidRPr="0064652A">
              <w:rPr>
                <w:color w:val="000000"/>
                <w:sz w:val="20"/>
                <w:szCs w:val="20"/>
              </w:rPr>
              <w:t>3.1</w:t>
            </w:r>
          </w:p>
        </w:tc>
        <w:tc>
          <w:tcPr>
            <w:tcW w:w="4700" w:type="pct"/>
            <w:tcMar>
              <w:top w:w="5" w:type="dxa"/>
              <w:left w:w="5" w:type="dxa"/>
              <w:bottom w:w="5" w:type="dxa"/>
              <w:right w:w="5" w:type="dxa"/>
            </w:tcMar>
            <w:vAlign w:val="center"/>
            <w:hideMark/>
          </w:tcPr>
          <w:p w14:paraId="212AE3BF" w14:textId="77777777" w:rsidR="00C820B8" w:rsidRPr="0064652A" w:rsidRDefault="008D7FC6">
            <w:pPr>
              <w:rPr>
                <w:color w:val="000000"/>
                <w:sz w:val="20"/>
                <w:szCs w:val="20"/>
              </w:rPr>
            </w:pPr>
            <w:r w:rsidRPr="0064652A">
              <w:rPr>
                <w:color w:val="000000"/>
                <w:sz w:val="20"/>
                <w:szCs w:val="20"/>
              </w:rPr>
              <w:t>Certificate of Incorporation of Emerson (incorporated by reference to Exhibit (3) (a) of Emerson’s Registration Statement on  Form S-1, Registration No. 33-53621, declared effective by the SEC on August 9, 1994) (filed in paper format).</w:t>
            </w:r>
          </w:p>
        </w:tc>
      </w:tr>
      <w:tr w:rsidR="00C820B8" w:rsidRPr="0064652A" w14:paraId="763B2388" w14:textId="77777777">
        <w:trPr>
          <w:jc w:val="center"/>
        </w:trPr>
        <w:tc>
          <w:tcPr>
            <w:tcW w:w="300" w:type="pct"/>
            <w:tcMar>
              <w:top w:w="5" w:type="dxa"/>
              <w:left w:w="5" w:type="dxa"/>
              <w:bottom w:w="5" w:type="dxa"/>
              <w:right w:w="5" w:type="dxa"/>
            </w:tcMar>
            <w:vAlign w:val="center"/>
            <w:hideMark/>
          </w:tcPr>
          <w:p w14:paraId="2E52016E" w14:textId="77777777" w:rsidR="00C820B8" w:rsidRPr="0064652A" w:rsidRDefault="008D7FC6">
            <w:pPr>
              <w:rPr>
                <w:color w:val="000000"/>
                <w:sz w:val="20"/>
                <w:szCs w:val="20"/>
              </w:rPr>
            </w:pPr>
            <w:r w:rsidRPr="0064652A">
              <w:rPr>
                <w:color w:val="000000"/>
                <w:sz w:val="20"/>
                <w:szCs w:val="20"/>
              </w:rPr>
              <w:t> </w:t>
            </w:r>
          </w:p>
        </w:tc>
        <w:tc>
          <w:tcPr>
            <w:tcW w:w="4700" w:type="pct"/>
            <w:tcMar>
              <w:top w:w="5" w:type="dxa"/>
              <w:left w:w="5" w:type="dxa"/>
              <w:bottom w:w="5" w:type="dxa"/>
              <w:right w:w="5" w:type="dxa"/>
            </w:tcMar>
            <w:vAlign w:val="center"/>
            <w:hideMark/>
          </w:tcPr>
          <w:p w14:paraId="1B0DA9E3" w14:textId="77777777" w:rsidR="00C820B8" w:rsidRPr="0064652A" w:rsidRDefault="008D7FC6">
            <w:pPr>
              <w:rPr>
                <w:color w:val="000000"/>
                <w:sz w:val="20"/>
                <w:szCs w:val="20"/>
              </w:rPr>
            </w:pPr>
            <w:r w:rsidRPr="0064652A">
              <w:rPr>
                <w:color w:val="000000"/>
                <w:sz w:val="20"/>
                <w:szCs w:val="20"/>
              </w:rPr>
              <w:t> </w:t>
            </w:r>
          </w:p>
        </w:tc>
      </w:tr>
      <w:tr w:rsidR="00C820B8" w:rsidRPr="0064652A" w14:paraId="1CD565E5" w14:textId="77777777">
        <w:trPr>
          <w:jc w:val="center"/>
        </w:trPr>
        <w:tc>
          <w:tcPr>
            <w:tcW w:w="300" w:type="pct"/>
            <w:tcMar>
              <w:top w:w="5" w:type="dxa"/>
              <w:left w:w="5" w:type="dxa"/>
              <w:bottom w:w="5" w:type="dxa"/>
              <w:right w:w="5" w:type="dxa"/>
            </w:tcMar>
            <w:vAlign w:val="center"/>
            <w:hideMark/>
          </w:tcPr>
          <w:p w14:paraId="55CF0FD7" w14:textId="77777777" w:rsidR="00C820B8" w:rsidRPr="0064652A" w:rsidRDefault="008D7FC6">
            <w:pPr>
              <w:rPr>
                <w:color w:val="000000"/>
                <w:sz w:val="20"/>
                <w:szCs w:val="20"/>
              </w:rPr>
            </w:pPr>
            <w:r w:rsidRPr="0064652A">
              <w:rPr>
                <w:color w:val="000000"/>
                <w:sz w:val="20"/>
                <w:szCs w:val="20"/>
              </w:rPr>
              <w:t>3.1.1</w:t>
            </w:r>
          </w:p>
        </w:tc>
        <w:tc>
          <w:tcPr>
            <w:tcW w:w="4700" w:type="pct"/>
            <w:tcMar>
              <w:top w:w="5" w:type="dxa"/>
              <w:left w:w="5" w:type="dxa"/>
              <w:bottom w:w="5" w:type="dxa"/>
              <w:right w:w="5" w:type="dxa"/>
            </w:tcMar>
            <w:vAlign w:val="center"/>
            <w:hideMark/>
          </w:tcPr>
          <w:p w14:paraId="039F99A1" w14:textId="77777777" w:rsidR="00C820B8" w:rsidRPr="0064652A" w:rsidRDefault="008D7FC6">
            <w:pPr>
              <w:rPr>
                <w:color w:val="000000"/>
                <w:sz w:val="20"/>
                <w:szCs w:val="20"/>
              </w:rPr>
            </w:pPr>
            <w:r w:rsidRPr="0064652A">
              <w:rPr>
                <w:color w:val="000000"/>
                <w:sz w:val="20"/>
                <w:szCs w:val="20"/>
              </w:rPr>
              <w:t>Certificate of Designation for Series A Preferred Stock (incorporated by reference to Exhibit (3) (b) of Emerson’s Registration  Statement on Form S-1, Registration No. 33-53621, declared effective by the SEC on August 9, 1994) (filed in paper format).</w:t>
            </w:r>
          </w:p>
        </w:tc>
      </w:tr>
      <w:tr w:rsidR="00C820B8" w:rsidRPr="0064652A" w14:paraId="30B5681D" w14:textId="77777777">
        <w:trPr>
          <w:jc w:val="center"/>
        </w:trPr>
        <w:tc>
          <w:tcPr>
            <w:tcW w:w="300" w:type="pct"/>
            <w:tcMar>
              <w:top w:w="5" w:type="dxa"/>
              <w:left w:w="5" w:type="dxa"/>
              <w:bottom w:w="5" w:type="dxa"/>
              <w:right w:w="5" w:type="dxa"/>
            </w:tcMar>
            <w:vAlign w:val="center"/>
            <w:hideMark/>
          </w:tcPr>
          <w:p w14:paraId="41B2C2B4" w14:textId="77777777" w:rsidR="00C820B8" w:rsidRPr="0064652A" w:rsidRDefault="008D7FC6">
            <w:pPr>
              <w:rPr>
                <w:color w:val="000000"/>
                <w:sz w:val="20"/>
                <w:szCs w:val="20"/>
              </w:rPr>
            </w:pPr>
            <w:r w:rsidRPr="0064652A">
              <w:rPr>
                <w:color w:val="000000"/>
                <w:sz w:val="20"/>
                <w:szCs w:val="20"/>
              </w:rPr>
              <w:t> </w:t>
            </w:r>
          </w:p>
        </w:tc>
        <w:tc>
          <w:tcPr>
            <w:tcW w:w="4700" w:type="pct"/>
            <w:tcMar>
              <w:top w:w="5" w:type="dxa"/>
              <w:left w:w="5" w:type="dxa"/>
              <w:bottom w:w="5" w:type="dxa"/>
              <w:right w:w="5" w:type="dxa"/>
            </w:tcMar>
            <w:vAlign w:val="center"/>
            <w:hideMark/>
          </w:tcPr>
          <w:p w14:paraId="01E45C4B" w14:textId="77777777" w:rsidR="00C820B8" w:rsidRPr="0064652A" w:rsidRDefault="008D7FC6">
            <w:pPr>
              <w:rPr>
                <w:color w:val="000000"/>
                <w:sz w:val="20"/>
                <w:szCs w:val="20"/>
              </w:rPr>
            </w:pPr>
            <w:r w:rsidRPr="0064652A">
              <w:rPr>
                <w:color w:val="000000"/>
                <w:sz w:val="20"/>
                <w:szCs w:val="20"/>
              </w:rPr>
              <w:t> </w:t>
            </w:r>
          </w:p>
        </w:tc>
      </w:tr>
      <w:tr w:rsidR="00C820B8" w:rsidRPr="0064652A" w14:paraId="0B65AA56" w14:textId="77777777">
        <w:trPr>
          <w:jc w:val="center"/>
        </w:trPr>
        <w:tc>
          <w:tcPr>
            <w:tcW w:w="300" w:type="pct"/>
            <w:tcMar>
              <w:top w:w="5" w:type="dxa"/>
              <w:left w:w="5" w:type="dxa"/>
              <w:bottom w:w="5" w:type="dxa"/>
              <w:right w:w="5" w:type="dxa"/>
            </w:tcMar>
            <w:vAlign w:val="center"/>
            <w:hideMark/>
          </w:tcPr>
          <w:p w14:paraId="3A67E339" w14:textId="77777777" w:rsidR="00C820B8" w:rsidRPr="0064652A" w:rsidRDefault="008D7FC6">
            <w:pPr>
              <w:rPr>
                <w:color w:val="000000"/>
                <w:sz w:val="20"/>
                <w:szCs w:val="20"/>
              </w:rPr>
            </w:pPr>
            <w:r w:rsidRPr="0064652A">
              <w:rPr>
                <w:color w:val="000000"/>
                <w:sz w:val="20"/>
                <w:szCs w:val="20"/>
              </w:rPr>
              <w:t>3.1.2</w:t>
            </w:r>
          </w:p>
        </w:tc>
        <w:tc>
          <w:tcPr>
            <w:tcW w:w="4700" w:type="pct"/>
            <w:tcMar>
              <w:top w:w="5" w:type="dxa"/>
              <w:left w:w="5" w:type="dxa"/>
              <w:bottom w:w="5" w:type="dxa"/>
              <w:right w:w="5" w:type="dxa"/>
            </w:tcMar>
            <w:vAlign w:val="center"/>
            <w:hideMark/>
          </w:tcPr>
          <w:p w14:paraId="3E84E583" w14:textId="77777777" w:rsidR="00C820B8" w:rsidRPr="0064652A" w:rsidRDefault="008D7FC6">
            <w:pPr>
              <w:rPr>
                <w:color w:val="000000"/>
                <w:sz w:val="20"/>
                <w:szCs w:val="20"/>
              </w:rPr>
            </w:pPr>
            <w:r w:rsidRPr="0064652A">
              <w:rPr>
                <w:color w:val="000000"/>
                <w:sz w:val="20"/>
                <w:szCs w:val="20"/>
              </w:rPr>
              <w:t>Amendment dated February 14, 1996 to the Certificate of Incorporation of Emerson (incorporated by reference to Exhibit (3) (a) of Emerson’s Quarterly Report on Form 10-Q for the quarter ended December 31, 1995).</w:t>
            </w:r>
          </w:p>
        </w:tc>
      </w:tr>
      <w:tr w:rsidR="00C820B8" w:rsidRPr="0064652A" w14:paraId="6830C412" w14:textId="77777777">
        <w:trPr>
          <w:jc w:val="center"/>
        </w:trPr>
        <w:tc>
          <w:tcPr>
            <w:tcW w:w="300" w:type="pct"/>
            <w:tcMar>
              <w:top w:w="5" w:type="dxa"/>
              <w:left w:w="5" w:type="dxa"/>
              <w:bottom w:w="5" w:type="dxa"/>
              <w:right w:w="5" w:type="dxa"/>
            </w:tcMar>
            <w:vAlign w:val="center"/>
            <w:hideMark/>
          </w:tcPr>
          <w:p w14:paraId="56444D41" w14:textId="77777777" w:rsidR="00C820B8" w:rsidRPr="0064652A" w:rsidRDefault="008D7FC6">
            <w:pPr>
              <w:rPr>
                <w:color w:val="000000"/>
                <w:sz w:val="20"/>
                <w:szCs w:val="20"/>
              </w:rPr>
            </w:pPr>
            <w:r w:rsidRPr="0064652A">
              <w:rPr>
                <w:color w:val="000000"/>
                <w:sz w:val="20"/>
                <w:szCs w:val="20"/>
              </w:rPr>
              <w:t> </w:t>
            </w:r>
          </w:p>
        </w:tc>
        <w:tc>
          <w:tcPr>
            <w:tcW w:w="4700" w:type="pct"/>
            <w:tcMar>
              <w:top w:w="5" w:type="dxa"/>
              <w:left w:w="5" w:type="dxa"/>
              <w:bottom w:w="5" w:type="dxa"/>
              <w:right w:w="5" w:type="dxa"/>
            </w:tcMar>
            <w:vAlign w:val="center"/>
            <w:hideMark/>
          </w:tcPr>
          <w:p w14:paraId="1554904E" w14:textId="77777777" w:rsidR="00C820B8" w:rsidRPr="0064652A" w:rsidRDefault="008D7FC6">
            <w:pPr>
              <w:rPr>
                <w:color w:val="000000"/>
                <w:sz w:val="20"/>
                <w:szCs w:val="20"/>
              </w:rPr>
            </w:pPr>
            <w:r w:rsidRPr="0064652A">
              <w:rPr>
                <w:color w:val="000000"/>
                <w:sz w:val="20"/>
                <w:szCs w:val="20"/>
              </w:rPr>
              <w:t> </w:t>
            </w:r>
          </w:p>
        </w:tc>
      </w:tr>
      <w:tr w:rsidR="00C820B8" w:rsidRPr="0064652A" w14:paraId="2BBB3AAA" w14:textId="77777777">
        <w:trPr>
          <w:jc w:val="center"/>
        </w:trPr>
        <w:tc>
          <w:tcPr>
            <w:tcW w:w="300" w:type="pct"/>
            <w:tcMar>
              <w:top w:w="5" w:type="dxa"/>
              <w:left w:w="5" w:type="dxa"/>
              <w:bottom w:w="5" w:type="dxa"/>
              <w:right w:w="5" w:type="dxa"/>
            </w:tcMar>
            <w:vAlign w:val="center"/>
            <w:hideMark/>
          </w:tcPr>
          <w:p w14:paraId="31DEC82C" w14:textId="77777777" w:rsidR="00C820B8" w:rsidRPr="0064652A" w:rsidRDefault="008D7FC6">
            <w:pPr>
              <w:rPr>
                <w:color w:val="000000"/>
                <w:sz w:val="20"/>
                <w:szCs w:val="20"/>
              </w:rPr>
            </w:pPr>
            <w:r w:rsidRPr="0064652A">
              <w:rPr>
                <w:color w:val="000000"/>
                <w:sz w:val="20"/>
                <w:szCs w:val="20"/>
              </w:rPr>
              <w:t>3.2</w:t>
            </w:r>
          </w:p>
        </w:tc>
        <w:tc>
          <w:tcPr>
            <w:tcW w:w="4700" w:type="pct"/>
            <w:tcMar>
              <w:top w:w="5" w:type="dxa"/>
              <w:left w:w="5" w:type="dxa"/>
              <w:bottom w:w="5" w:type="dxa"/>
              <w:right w:w="5" w:type="dxa"/>
            </w:tcMar>
            <w:vAlign w:val="center"/>
            <w:hideMark/>
          </w:tcPr>
          <w:p w14:paraId="4AB20D76" w14:textId="77777777" w:rsidR="00C820B8" w:rsidRPr="0064652A" w:rsidRDefault="00000000">
            <w:pPr>
              <w:rPr>
                <w:color w:val="000000"/>
                <w:sz w:val="20"/>
                <w:szCs w:val="20"/>
              </w:rPr>
            </w:pPr>
            <w:hyperlink r:id="rId5" w:history="1">
              <w:r w:rsidR="008D7FC6" w:rsidRPr="0064652A">
                <w:rPr>
                  <w:color w:val="0000EE"/>
                  <w:sz w:val="20"/>
                  <w:szCs w:val="20"/>
                  <w:u w:val="single" w:color="0000EE"/>
                </w:rPr>
                <w:t>By-Laws of Emerson (incorporated by reference to Exhibit 3.1 of Emerson</w:t>
              </w:r>
            </w:hyperlink>
            <w:r w:rsidR="008D7FC6" w:rsidRPr="0064652A">
              <w:rPr>
                <w:color w:val="000000"/>
                <w:sz w:val="20"/>
                <w:szCs w:val="20"/>
                <w:u w:val="single" w:color="000000"/>
              </w:rPr>
              <w:t>’s Quarterly Report on Form 10-Q for the quarter ended December 31, 2007).</w:t>
            </w:r>
          </w:p>
        </w:tc>
      </w:tr>
      <w:tr w:rsidR="00C820B8" w:rsidRPr="0064652A" w14:paraId="6A547913" w14:textId="77777777">
        <w:trPr>
          <w:jc w:val="center"/>
        </w:trPr>
        <w:tc>
          <w:tcPr>
            <w:tcW w:w="300" w:type="pct"/>
            <w:tcMar>
              <w:top w:w="5" w:type="dxa"/>
              <w:left w:w="5" w:type="dxa"/>
              <w:bottom w:w="5" w:type="dxa"/>
              <w:right w:w="5" w:type="dxa"/>
            </w:tcMar>
            <w:vAlign w:val="center"/>
            <w:hideMark/>
          </w:tcPr>
          <w:p w14:paraId="48C65A95" w14:textId="77777777" w:rsidR="00C820B8" w:rsidRPr="0064652A" w:rsidRDefault="008D7FC6">
            <w:pPr>
              <w:rPr>
                <w:color w:val="000000"/>
                <w:sz w:val="20"/>
                <w:szCs w:val="20"/>
              </w:rPr>
            </w:pPr>
            <w:r w:rsidRPr="0064652A">
              <w:rPr>
                <w:color w:val="000000"/>
                <w:sz w:val="20"/>
                <w:szCs w:val="20"/>
              </w:rPr>
              <w:t> </w:t>
            </w:r>
          </w:p>
        </w:tc>
        <w:tc>
          <w:tcPr>
            <w:tcW w:w="4700" w:type="pct"/>
            <w:tcMar>
              <w:top w:w="5" w:type="dxa"/>
              <w:left w:w="5" w:type="dxa"/>
              <w:bottom w:w="5" w:type="dxa"/>
              <w:right w:w="5" w:type="dxa"/>
            </w:tcMar>
            <w:vAlign w:val="center"/>
            <w:hideMark/>
          </w:tcPr>
          <w:p w14:paraId="7C8DE343" w14:textId="77777777" w:rsidR="00C820B8" w:rsidRPr="0064652A" w:rsidRDefault="008D7FC6">
            <w:pPr>
              <w:rPr>
                <w:color w:val="000000"/>
                <w:sz w:val="20"/>
                <w:szCs w:val="20"/>
              </w:rPr>
            </w:pPr>
            <w:r w:rsidRPr="0064652A">
              <w:rPr>
                <w:color w:val="000000"/>
                <w:sz w:val="20"/>
                <w:szCs w:val="20"/>
              </w:rPr>
              <w:t> </w:t>
            </w:r>
          </w:p>
        </w:tc>
      </w:tr>
      <w:tr w:rsidR="00C820B8" w:rsidRPr="0064652A" w14:paraId="2076C830" w14:textId="77777777">
        <w:trPr>
          <w:jc w:val="center"/>
        </w:trPr>
        <w:tc>
          <w:tcPr>
            <w:tcW w:w="300" w:type="pct"/>
            <w:tcMar>
              <w:top w:w="5" w:type="dxa"/>
              <w:left w:w="5" w:type="dxa"/>
              <w:bottom w:w="5" w:type="dxa"/>
              <w:right w:w="5" w:type="dxa"/>
            </w:tcMar>
            <w:hideMark/>
          </w:tcPr>
          <w:p w14:paraId="45B5B1EE" w14:textId="77777777" w:rsidR="00C820B8" w:rsidRPr="0064652A" w:rsidRDefault="008D7FC6">
            <w:pPr>
              <w:rPr>
                <w:color w:val="000000"/>
                <w:sz w:val="20"/>
                <w:szCs w:val="20"/>
              </w:rPr>
            </w:pPr>
            <w:r w:rsidRPr="0064652A">
              <w:rPr>
                <w:color w:val="000000"/>
                <w:sz w:val="20"/>
                <w:szCs w:val="20"/>
              </w:rPr>
              <w:t>31.1</w:t>
            </w:r>
          </w:p>
        </w:tc>
        <w:tc>
          <w:tcPr>
            <w:tcW w:w="4700" w:type="pct"/>
            <w:tcMar>
              <w:top w:w="5" w:type="dxa"/>
              <w:left w:w="5" w:type="dxa"/>
              <w:bottom w:w="5" w:type="dxa"/>
              <w:right w:w="5" w:type="dxa"/>
            </w:tcMar>
            <w:hideMark/>
          </w:tcPr>
          <w:p w14:paraId="6677E41B" w14:textId="77777777" w:rsidR="00C820B8" w:rsidRPr="0064652A" w:rsidRDefault="00000000">
            <w:pPr>
              <w:rPr>
                <w:color w:val="000000"/>
                <w:sz w:val="20"/>
                <w:szCs w:val="20"/>
              </w:rPr>
            </w:pPr>
            <w:hyperlink r:id="rId6" w:history="1">
              <w:r w:rsidR="008D7FC6" w:rsidRPr="0064652A">
                <w:rPr>
                  <w:color w:val="0000EE"/>
                  <w:sz w:val="20"/>
                  <w:szCs w:val="20"/>
                  <w:u w:val="single" w:color="0000EE"/>
                </w:rPr>
                <w:t>Certification of the Company’s Chief Executive Officer pursuant to 18 U.S.C. Section 1350, as adopted pursuant to Section 302 of the Sarbanes-Oxley Act of 2002.*</w:t>
              </w:r>
            </w:hyperlink>
          </w:p>
        </w:tc>
      </w:tr>
      <w:tr w:rsidR="00C820B8" w:rsidRPr="0064652A" w14:paraId="052F532F" w14:textId="77777777">
        <w:trPr>
          <w:jc w:val="center"/>
        </w:trPr>
        <w:tc>
          <w:tcPr>
            <w:tcW w:w="300" w:type="pct"/>
            <w:tcMar>
              <w:top w:w="5" w:type="dxa"/>
              <w:left w:w="5" w:type="dxa"/>
              <w:bottom w:w="5" w:type="dxa"/>
              <w:right w:w="5" w:type="dxa"/>
            </w:tcMar>
            <w:vAlign w:val="center"/>
            <w:hideMark/>
          </w:tcPr>
          <w:p w14:paraId="07EA8DE4" w14:textId="77777777" w:rsidR="00C820B8" w:rsidRPr="0064652A" w:rsidRDefault="008D7FC6">
            <w:pPr>
              <w:rPr>
                <w:color w:val="000000"/>
                <w:sz w:val="20"/>
                <w:szCs w:val="20"/>
              </w:rPr>
            </w:pPr>
            <w:r w:rsidRPr="0064652A">
              <w:rPr>
                <w:color w:val="000000"/>
                <w:sz w:val="20"/>
                <w:szCs w:val="20"/>
              </w:rPr>
              <w:t> </w:t>
            </w:r>
          </w:p>
        </w:tc>
        <w:tc>
          <w:tcPr>
            <w:tcW w:w="4700" w:type="pct"/>
            <w:tcMar>
              <w:top w:w="5" w:type="dxa"/>
              <w:left w:w="5" w:type="dxa"/>
              <w:bottom w:w="5" w:type="dxa"/>
              <w:right w:w="5" w:type="dxa"/>
            </w:tcMar>
            <w:vAlign w:val="center"/>
            <w:hideMark/>
          </w:tcPr>
          <w:p w14:paraId="4C521CFF" w14:textId="77777777" w:rsidR="00C820B8" w:rsidRPr="0064652A" w:rsidRDefault="008D7FC6">
            <w:pPr>
              <w:rPr>
                <w:color w:val="000000"/>
                <w:sz w:val="20"/>
                <w:szCs w:val="20"/>
              </w:rPr>
            </w:pPr>
            <w:r w:rsidRPr="0064652A">
              <w:rPr>
                <w:color w:val="000000"/>
                <w:sz w:val="20"/>
                <w:szCs w:val="20"/>
              </w:rPr>
              <w:t> </w:t>
            </w:r>
          </w:p>
        </w:tc>
      </w:tr>
      <w:tr w:rsidR="00C820B8" w:rsidRPr="0064652A" w14:paraId="4F39A76C" w14:textId="77777777">
        <w:trPr>
          <w:jc w:val="center"/>
        </w:trPr>
        <w:tc>
          <w:tcPr>
            <w:tcW w:w="300" w:type="pct"/>
            <w:tcMar>
              <w:top w:w="5" w:type="dxa"/>
              <w:left w:w="5" w:type="dxa"/>
              <w:bottom w:w="5" w:type="dxa"/>
              <w:right w:w="5" w:type="dxa"/>
            </w:tcMar>
            <w:hideMark/>
          </w:tcPr>
          <w:p w14:paraId="0396DECF" w14:textId="77777777" w:rsidR="00C820B8" w:rsidRPr="0064652A" w:rsidRDefault="008D7FC6">
            <w:pPr>
              <w:rPr>
                <w:color w:val="000000"/>
                <w:sz w:val="20"/>
                <w:szCs w:val="20"/>
              </w:rPr>
            </w:pPr>
            <w:r w:rsidRPr="0064652A">
              <w:rPr>
                <w:color w:val="000000"/>
                <w:sz w:val="20"/>
                <w:szCs w:val="20"/>
              </w:rPr>
              <w:t>31.2</w:t>
            </w:r>
          </w:p>
        </w:tc>
        <w:tc>
          <w:tcPr>
            <w:tcW w:w="4700" w:type="pct"/>
            <w:tcMar>
              <w:top w:w="5" w:type="dxa"/>
              <w:left w:w="5" w:type="dxa"/>
              <w:bottom w:w="5" w:type="dxa"/>
              <w:right w:w="5" w:type="dxa"/>
            </w:tcMar>
            <w:hideMark/>
          </w:tcPr>
          <w:p w14:paraId="4DEE6F89" w14:textId="77777777" w:rsidR="00C820B8" w:rsidRPr="0064652A" w:rsidRDefault="00000000">
            <w:pPr>
              <w:rPr>
                <w:color w:val="000000"/>
                <w:sz w:val="20"/>
                <w:szCs w:val="20"/>
              </w:rPr>
            </w:pPr>
            <w:hyperlink r:id="rId7" w:history="1">
              <w:r w:rsidR="008D7FC6" w:rsidRPr="0064652A">
                <w:rPr>
                  <w:color w:val="0000EE"/>
                  <w:sz w:val="20"/>
                  <w:szCs w:val="20"/>
                  <w:u w:val="single" w:color="0000EE"/>
                </w:rPr>
                <w:t>Certification of the Company’s Chief Financial Officer pursuant to 18 U.S.C. Section 1350, as adopted pursuant to Section 302 of the Sarbanes-Oxley Act of 2002.*</w:t>
              </w:r>
            </w:hyperlink>
          </w:p>
        </w:tc>
      </w:tr>
      <w:tr w:rsidR="00C820B8" w:rsidRPr="0064652A" w14:paraId="5F847F09" w14:textId="77777777">
        <w:trPr>
          <w:jc w:val="center"/>
        </w:trPr>
        <w:tc>
          <w:tcPr>
            <w:tcW w:w="300" w:type="pct"/>
            <w:tcMar>
              <w:top w:w="5" w:type="dxa"/>
              <w:left w:w="5" w:type="dxa"/>
              <w:bottom w:w="5" w:type="dxa"/>
              <w:right w:w="5" w:type="dxa"/>
            </w:tcMar>
            <w:vAlign w:val="center"/>
            <w:hideMark/>
          </w:tcPr>
          <w:p w14:paraId="71D8AD1A" w14:textId="77777777" w:rsidR="00C820B8" w:rsidRPr="0064652A" w:rsidRDefault="008D7FC6">
            <w:pPr>
              <w:rPr>
                <w:color w:val="000000"/>
                <w:sz w:val="20"/>
                <w:szCs w:val="20"/>
              </w:rPr>
            </w:pPr>
            <w:r w:rsidRPr="0064652A">
              <w:rPr>
                <w:color w:val="000000"/>
                <w:sz w:val="20"/>
                <w:szCs w:val="20"/>
              </w:rPr>
              <w:t> </w:t>
            </w:r>
          </w:p>
        </w:tc>
        <w:tc>
          <w:tcPr>
            <w:tcW w:w="4700" w:type="pct"/>
            <w:tcMar>
              <w:top w:w="5" w:type="dxa"/>
              <w:left w:w="5" w:type="dxa"/>
              <w:bottom w:w="5" w:type="dxa"/>
              <w:right w:w="5" w:type="dxa"/>
            </w:tcMar>
            <w:vAlign w:val="center"/>
            <w:hideMark/>
          </w:tcPr>
          <w:p w14:paraId="2075BA9B" w14:textId="77777777" w:rsidR="00C820B8" w:rsidRPr="0064652A" w:rsidRDefault="008D7FC6">
            <w:pPr>
              <w:rPr>
                <w:color w:val="000000"/>
                <w:sz w:val="20"/>
                <w:szCs w:val="20"/>
              </w:rPr>
            </w:pPr>
            <w:r w:rsidRPr="0064652A">
              <w:rPr>
                <w:color w:val="000000"/>
                <w:sz w:val="20"/>
                <w:szCs w:val="20"/>
              </w:rPr>
              <w:t> </w:t>
            </w:r>
          </w:p>
        </w:tc>
      </w:tr>
      <w:tr w:rsidR="00C820B8" w:rsidRPr="0064652A" w14:paraId="5548A092" w14:textId="77777777">
        <w:trPr>
          <w:jc w:val="center"/>
        </w:trPr>
        <w:tc>
          <w:tcPr>
            <w:tcW w:w="300" w:type="pct"/>
            <w:tcMar>
              <w:top w:w="5" w:type="dxa"/>
              <w:left w:w="5" w:type="dxa"/>
              <w:bottom w:w="5" w:type="dxa"/>
              <w:right w:w="5" w:type="dxa"/>
            </w:tcMar>
            <w:hideMark/>
          </w:tcPr>
          <w:p w14:paraId="790A54FB" w14:textId="77777777" w:rsidR="00C820B8" w:rsidRPr="0064652A" w:rsidRDefault="008D7FC6">
            <w:pPr>
              <w:rPr>
                <w:color w:val="000000"/>
                <w:sz w:val="20"/>
                <w:szCs w:val="20"/>
              </w:rPr>
            </w:pPr>
            <w:r w:rsidRPr="0064652A">
              <w:rPr>
                <w:color w:val="000000"/>
                <w:sz w:val="20"/>
                <w:szCs w:val="20"/>
              </w:rPr>
              <w:lastRenderedPageBreak/>
              <w:t>32</w:t>
            </w:r>
          </w:p>
        </w:tc>
        <w:tc>
          <w:tcPr>
            <w:tcW w:w="4700" w:type="pct"/>
            <w:tcMar>
              <w:top w:w="5" w:type="dxa"/>
              <w:left w:w="5" w:type="dxa"/>
              <w:bottom w:w="5" w:type="dxa"/>
              <w:right w:w="5" w:type="dxa"/>
            </w:tcMar>
            <w:hideMark/>
          </w:tcPr>
          <w:p w14:paraId="1C6B23C9" w14:textId="77777777" w:rsidR="00C820B8" w:rsidRPr="0064652A" w:rsidRDefault="00000000">
            <w:pPr>
              <w:rPr>
                <w:color w:val="000000"/>
                <w:sz w:val="20"/>
                <w:szCs w:val="20"/>
              </w:rPr>
            </w:pPr>
            <w:hyperlink r:id="rId8" w:history="1">
              <w:r w:rsidR="008D7FC6" w:rsidRPr="0064652A">
                <w:rPr>
                  <w:color w:val="0000EE"/>
                  <w:sz w:val="20"/>
                  <w:szCs w:val="20"/>
                  <w:u w:val="single" w:color="0000EE"/>
                </w:rPr>
                <w:t>Certification of the Company’s Chief Executive Officer and Chief Financial Officer pursuant to 18 U.S.C. Section 1350, as adopted pursuant to Section 906 of the Sarbanes-Oxley Act of 2002.**</w:t>
              </w:r>
            </w:hyperlink>
          </w:p>
        </w:tc>
      </w:tr>
      <w:tr w:rsidR="00C820B8" w:rsidRPr="0064652A" w14:paraId="6B80A188" w14:textId="77777777">
        <w:trPr>
          <w:jc w:val="center"/>
        </w:trPr>
        <w:tc>
          <w:tcPr>
            <w:tcW w:w="300" w:type="pct"/>
            <w:tcMar>
              <w:top w:w="5" w:type="dxa"/>
              <w:left w:w="5" w:type="dxa"/>
              <w:bottom w:w="5" w:type="dxa"/>
              <w:right w:w="5" w:type="dxa"/>
            </w:tcMar>
            <w:vAlign w:val="center"/>
            <w:hideMark/>
          </w:tcPr>
          <w:p w14:paraId="5E44F6FA" w14:textId="77777777" w:rsidR="00C820B8" w:rsidRPr="0064652A" w:rsidRDefault="008D7FC6">
            <w:pPr>
              <w:rPr>
                <w:color w:val="000000"/>
                <w:sz w:val="20"/>
                <w:szCs w:val="20"/>
              </w:rPr>
            </w:pPr>
            <w:r w:rsidRPr="0064652A">
              <w:rPr>
                <w:color w:val="000000"/>
                <w:sz w:val="20"/>
                <w:szCs w:val="20"/>
              </w:rPr>
              <w:t> </w:t>
            </w:r>
          </w:p>
        </w:tc>
        <w:tc>
          <w:tcPr>
            <w:tcW w:w="4700" w:type="pct"/>
            <w:tcMar>
              <w:top w:w="5" w:type="dxa"/>
              <w:left w:w="5" w:type="dxa"/>
              <w:bottom w:w="5" w:type="dxa"/>
              <w:right w:w="5" w:type="dxa"/>
            </w:tcMar>
            <w:vAlign w:val="center"/>
            <w:hideMark/>
          </w:tcPr>
          <w:p w14:paraId="16C3AAEA" w14:textId="77777777" w:rsidR="00C820B8" w:rsidRPr="0064652A" w:rsidRDefault="008D7FC6">
            <w:pPr>
              <w:rPr>
                <w:color w:val="000000"/>
                <w:sz w:val="20"/>
                <w:szCs w:val="20"/>
              </w:rPr>
            </w:pPr>
            <w:r w:rsidRPr="0064652A">
              <w:rPr>
                <w:color w:val="000000"/>
                <w:sz w:val="20"/>
                <w:szCs w:val="20"/>
              </w:rPr>
              <w:t> </w:t>
            </w:r>
          </w:p>
        </w:tc>
      </w:tr>
      <w:tr w:rsidR="00C820B8" w:rsidRPr="0064652A" w14:paraId="2794B518" w14:textId="77777777">
        <w:trPr>
          <w:jc w:val="center"/>
        </w:trPr>
        <w:tc>
          <w:tcPr>
            <w:tcW w:w="300" w:type="pct"/>
            <w:tcMar>
              <w:top w:w="5" w:type="dxa"/>
              <w:left w:w="5" w:type="dxa"/>
              <w:bottom w:w="5" w:type="dxa"/>
              <w:right w:w="5" w:type="dxa"/>
            </w:tcMar>
            <w:hideMark/>
          </w:tcPr>
          <w:p w14:paraId="40C1C608" w14:textId="77777777" w:rsidR="00C820B8" w:rsidRPr="0064652A" w:rsidRDefault="008D7FC6">
            <w:pPr>
              <w:rPr>
                <w:color w:val="000000"/>
                <w:sz w:val="20"/>
                <w:szCs w:val="20"/>
              </w:rPr>
            </w:pPr>
            <w:r w:rsidRPr="0064652A">
              <w:rPr>
                <w:color w:val="000000"/>
                <w:sz w:val="20"/>
                <w:szCs w:val="20"/>
              </w:rPr>
              <w:t>101.INS</w:t>
            </w:r>
          </w:p>
        </w:tc>
        <w:tc>
          <w:tcPr>
            <w:tcW w:w="4700" w:type="pct"/>
            <w:tcMar>
              <w:top w:w="5" w:type="dxa"/>
              <w:left w:w="5" w:type="dxa"/>
              <w:bottom w:w="5" w:type="dxa"/>
              <w:right w:w="5" w:type="dxa"/>
            </w:tcMar>
            <w:hideMark/>
          </w:tcPr>
          <w:p w14:paraId="64D702D6" w14:textId="77777777" w:rsidR="00C820B8" w:rsidRPr="0064652A" w:rsidRDefault="008D7FC6">
            <w:pPr>
              <w:rPr>
                <w:color w:val="000000"/>
                <w:sz w:val="20"/>
                <w:szCs w:val="20"/>
              </w:rPr>
            </w:pPr>
            <w:r w:rsidRPr="0064652A">
              <w:rPr>
                <w:color w:val="000000"/>
                <w:sz w:val="20"/>
                <w:szCs w:val="20"/>
              </w:rPr>
              <w:t>Inline XBRL Instance Document - the instance document does not appear in the Interactive Data File because XBRL tags are embedded within the Inline XBRL document.*</w:t>
            </w:r>
          </w:p>
        </w:tc>
      </w:tr>
      <w:tr w:rsidR="00C820B8" w:rsidRPr="0064652A" w14:paraId="5DF4B97B" w14:textId="77777777">
        <w:trPr>
          <w:jc w:val="center"/>
        </w:trPr>
        <w:tc>
          <w:tcPr>
            <w:tcW w:w="300" w:type="pct"/>
            <w:tcMar>
              <w:top w:w="5" w:type="dxa"/>
              <w:left w:w="5" w:type="dxa"/>
              <w:bottom w:w="5" w:type="dxa"/>
              <w:right w:w="5" w:type="dxa"/>
            </w:tcMar>
            <w:vAlign w:val="center"/>
            <w:hideMark/>
          </w:tcPr>
          <w:p w14:paraId="0EF41C09" w14:textId="77777777" w:rsidR="00C820B8" w:rsidRPr="0064652A" w:rsidRDefault="008D7FC6">
            <w:pPr>
              <w:rPr>
                <w:color w:val="000000"/>
                <w:sz w:val="20"/>
                <w:szCs w:val="20"/>
              </w:rPr>
            </w:pPr>
            <w:r w:rsidRPr="0064652A">
              <w:rPr>
                <w:color w:val="000000"/>
                <w:sz w:val="20"/>
                <w:szCs w:val="20"/>
              </w:rPr>
              <w:t> </w:t>
            </w:r>
          </w:p>
        </w:tc>
        <w:tc>
          <w:tcPr>
            <w:tcW w:w="4700" w:type="pct"/>
            <w:tcMar>
              <w:top w:w="5" w:type="dxa"/>
              <w:left w:w="5" w:type="dxa"/>
              <w:bottom w:w="5" w:type="dxa"/>
              <w:right w:w="5" w:type="dxa"/>
            </w:tcMar>
            <w:vAlign w:val="center"/>
            <w:hideMark/>
          </w:tcPr>
          <w:p w14:paraId="45E42F3B" w14:textId="77777777" w:rsidR="00C820B8" w:rsidRPr="0064652A" w:rsidRDefault="008D7FC6">
            <w:pPr>
              <w:rPr>
                <w:color w:val="000000"/>
                <w:sz w:val="20"/>
                <w:szCs w:val="20"/>
              </w:rPr>
            </w:pPr>
            <w:r w:rsidRPr="0064652A">
              <w:rPr>
                <w:color w:val="000000"/>
                <w:sz w:val="20"/>
                <w:szCs w:val="20"/>
              </w:rPr>
              <w:t> </w:t>
            </w:r>
          </w:p>
        </w:tc>
      </w:tr>
      <w:tr w:rsidR="00C820B8" w:rsidRPr="0064652A" w14:paraId="1810A3C6" w14:textId="77777777">
        <w:trPr>
          <w:jc w:val="center"/>
        </w:trPr>
        <w:tc>
          <w:tcPr>
            <w:tcW w:w="300" w:type="pct"/>
            <w:tcMar>
              <w:top w:w="5" w:type="dxa"/>
              <w:left w:w="5" w:type="dxa"/>
              <w:bottom w:w="5" w:type="dxa"/>
              <w:right w:w="5" w:type="dxa"/>
            </w:tcMar>
            <w:hideMark/>
          </w:tcPr>
          <w:p w14:paraId="107C95BA" w14:textId="77777777" w:rsidR="00C820B8" w:rsidRPr="0064652A" w:rsidRDefault="008D7FC6">
            <w:pPr>
              <w:rPr>
                <w:color w:val="000000"/>
                <w:sz w:val="20"/>
                <w:szCs w:val="20"/>
              </w:rPr>
            </w:pPr>
            <w:r w:rsidRPr="0064652A">
              <w:rPr>
                <w:color w:val="000000"/>
                <w:sz w:val="20"/>
                <w:szCs w:val="20"/>
              </w:rPr>
              <w:t>101.SCH</w:t>
            </w:r>
          </w:p>
        </w:tc>
        <w:tc>
          <w:tcPr>
            <w:tcW w:w="4700" w:type="pct"/>
            <w:tcMar>
              <w:top w:w="5" w:type="dxa"/>
              <w:left w:w="5" w:type="dxa"/>
              <w:bottom w:w="5" w:type="dxa"/>
              <w:right w:w="5" w:type="dxa"/>
            </w:tcMar>
            <w:hideMark/>
          </w:tcPr>
          <w:p w14:paraId="1688C595" w14:textId="77777777" w:rsidR="00C820B8" w:rsidRPr="0064652A" w:rsidRDefault="008D7FC6">
            <w:pPr>
              <w:rPr>
                <w:color w:val="000000"/>
                <w:sz w:val="20"/>
                <w:szCs w:val="20"/>
              </w:rPr>
            </w:pPr>
            <w:r w:rsidRPr="0064652A">
              <w:rPr>
                <w:color w:val="000000"/>
                <w:sz w:val="20"/>
                <w:szCs w:val="20"/>
              </w:rPr>
              <w:t>Inline XBRL Taxonomy Extension Schema Document.*</w:t>
            </w:r>
          </w:p>
        </w:tc>
      </w:tr>
      <w:tr w:rsidR="00C820B8" w:rsidRPr="0064652A" w14:paraId="3CE4FCD7" w14:textId="77777777">
        <w:trPr>
          <w:jc w:val="center"/>
        </w:trPr>
        <w:tc>
          <w:tcPr>
            <w:tcW w:w="300" w:type="pct"/>
            <w:tcMar>
              <w:top w:w="5" w:type="dxa"/>
              <w:left w:w="5" w:type="dxa"/>
              <w:bottom w:w="5" w:type="dxa"/>
              <w:right w:w="5" w:type="dxa"/>
            </w:tcMar>
            <w:vAlign w:val="center"/>
            <w:hideMark/>
          </w:tcPr>
          <w:p w14:paraId="516790B6" w14:textId="77777777" w:rsidR="00C820B8" w:rsidRPr="0064652A" w:rsidRDefault="008D7FC6">
            <w:pPr>
              <w:rPr>
                <w:color w:val="000000"/>
                <w:sz w:val="20"/>
                <w:szCs w:val="20"/>
              </w:rPr>
            </w:pPr>
            <w:r w:rsidRPr="0064652A">
              <w:rPr>
                <w:color w:val="000000"/>
                <w:sz w:val="20"/>
                <w:szCs w:val="20"/>
              </w:rPr>
              <w:t> </w:t>
            </w:r>
          </w:p>
        </w:tc>
        <w:tc>
          <w:tcPr>
            <w:tcW w:w="4700" w:type="pct"/>
            <w:tcMar>
              <w:top w:w="5" w:type="dxa"/>
              <w:left w:w="5" w:type="dxa"/>
              <w:bottom w:w="5" w:type="dxa"/>
              <w:right w:w="5" w:type="dxa"/>
            </w:tcMar>
            <w:vAlign w:val="center"/>
            <w:hideMark/>
          </w:tcPr>
          <w:p w14:paraId="0D276F49" w14:textId="77777777" w:rsidR="00C820B8" w:rsidRPr="0064652A" w:rsidRDefault="008D7FC6">
            <w:pPr>
              <w:rPr>
                <w:color w:val="000000"/>
                <w:sz w:val="20"/>
                <w:szCs w:val="20"/>
              </w:rPr>
            </w:pPr>
            <w:r w:rsidRPr="0064652A">
              <w:rPr>
                <w:color w:val="000000"/>
                <w:sz w:val="20"/>
                <w:szCs w:val="20"/>
              </w:rPr>
              <w:t> </w:t>
            </w:r>
          </w:p>
        </w:tc>
      </w:tr>
      <w:tr w:rsidR="00C820B8" w:rsidRPr="0064652A" w14:paraId="710AB665" w14:textId="77777777">
        <w:trPr>
          <w:jc w:val="center"/>
        </w:trPr>
        <w:tc>
          <w:tcPr>
            <w:tcW w:w="300" w:type="pct"/>
            <w:tcMar>
              <w:top w:w="5" w:type="dxa"/>
              <w:left w:w="5" w:type="dxa"/>
              <w:bottom w:w="5" w:type="dxa"/>
              <w:right w:w="5" w:type="dxa"/>
            </w:tcMar>
            <w:hideMark/>
          </w:tcPr>
          <w:p w14:paraId="37C49C39" w14:textId="77777777" w:rsidR="00C820B8" w:rsidRPr="0064652A" w:rsidRDefault="008D7FC6">
            <w:pPr>
              <w:rPr>
                <w:color w:val="000000"/>
                <w:sz w:val="20"/>
                <w:szCs w:val="20"/>
              </w:rPr>
            </w:pPr>
            <w:r w:rsidRPr="0064652A">
              <w:rPr>
                <w:color w:val="000000"/>
                <w:sz w:val="20"/>
                <w:szCs w:val="20"/>
              </w:rPr>
              <w:t>101.CAL</w:t>
            </w:r>
          </w:p>
        </w:tc>
        <w:tc>
          <w:tcPr>
            <w:tcW w:w="4700" w:type="pct"/>
            <w:tcMar>
              <w:top w:w="5" w:type="dxa"/>
              <w:left w:w="5" w:type="dxa"/>
              <w:bottom w:w="5" w:type="dxa"/>
              <w:right w:w="5" w:type="dxa"/>
            </w:tcMar>
            <w:hideMark/>
          </w:tcPr>
          <w:p w14:paraId="0CAA0190" w14:textId="77777777" w:rsidR="00C820B8" w:rsidRPr="0064652A" w:rsidRDefault="008D7FC6">
            <w:pPr>
              <w:rPr>
                <w:color w:val="000000"/>
                <w:sz w:val="20"/>
                <w:szCs w:val="20"/>
              </w:rPr>
            </w:pPr>
            <w:r w:rsidRPr="0064652A">
              <w:rPr>
                <w:color w:val="000000"/>
                <w:sz w:val="20"/>
                <w:szCs w:val="20"/>
              </w:rPr>
              <w:t>Inline XBRL Taxonomy Extension Calculation Linkbase Document.*</w:t>
            </w:r>
          </w:p>
        </w:tc>
      </w:tr>
      <w:tr w:rsidR="00C820B8" w:rsidRPr="0064652A" w14:paraId="2DAEC311" w14:textId="77777777">
        <w:trPr>
          <w:jc w:val="center"/>
        </w:trPr>
        <w:tc>
          <w:tcPr>
            <w:tcW w:w="300" w:type="pct"/>
            <w:tcMar>
              <w:top w:w="5" w:type="dxa"/>
              <w:left w:w="5" w:type="dxa"/>
              <w:bottom w:w="5" w:type="dxa"/>
              <w:right w:w="5" w:type="dxa"/>
            </w:tcMar>
            <w:vAlign w:val="center"/>
            <w:hideMark/>
          </w:tcPr>
          <w:p w14:paraId="43042CAA" w14:textId="77777777" w:rsidR="00C820B8" w:rsidRPr="0064652A" w:rsidRDefault="008D7FC6">
            <w:pPr>
              <w:rPr>
                <w:color w:val="000000"/>
                <w:sz w:val="20"/>
                <w:szCs w:val="20"/>
              </w:rPr>
            </w:pPr>
            <w:r w:rsidRPr="0064652A">
              <w:rPr>
                <w:color w:val="000000"/>
                <w:sz w:val="20"/>
                <w:szCs w:val="20"/>
              </w:rPr>
              <w:t> </w:t>
            </w:r>
          </w:p>
        </w:tc>
        <w:tc>
          <w:tcPr>
            <w:tcW w:w="4700" w:type="pct"/>
            <w:tcMar>
              <w:top w:w="5" w:type="dxa"/>
              <w:left w:w="5" w:type="dxa"/>
              <w:bottom w:w="5" w:type="dxa"/>
              <w:right w:w="5" w:type="dxa"/>
            </w:tcMar>
            <w:vAlign w:val="center"/>
            <w:hideMark/>
          </w:tcPr>
          <w:p w14:paraId="123245DC" w14:textId="77777777" w:rsidR="00C820B8" w:rsidRPr="0064652A" w:rsidRDefault="008D7FC6">
            <w:pPr>
              <w:rPr>
                <w:color w:val="000000"/>
                <w:sz w:val="20"/>
                <w:szCs w:val="20"/>
              </w:rPr>
            </w:pPr>
            <w:r w:rsidRPr="0064652A">
              <w:rPr>
                <w:color w:val="000000"/>
                <w:sz w:val="20"/>
                <w:szCs w:val="20"/>
              </w:rPr>
              <w:t> </w:t>
            </w:r>
          </w:p>
        </w:tc>
      </w:tr>
      <w:tr w:rsidR="00C820B8" w:rsidRPr="0064652A" w14:paraId="73607BA3" w14:textId="77777777">
        <w:trPr>
          <w:jc w:val="center"/>
        </w:trPr>
        <w:tc>
          <w:tcPr>
            <w:tcW w:w="300" w:type="pct"/>
            <w:tcMar>
              <w:top w:w="5" w:type="dxa"/>
              <w:left w:w="5" w:type="dxa"/>
              <w:bottom w:w="5" w:type="dxa"/>
              <w:right w:w="5" w:type="dxa"/>
            </w:tcMar>
            <w:hideMark/>
          </w:tcPr>
          <w:p w14:paraId="247E3B38" w14:textId="77777777" w:rsidR="00C820B8" w:rsidRPr="0064652A" w:rsidRDefault="008D7FC6">
            <w:pPr>
              <w:rPr>
                <w:color w:val="000000"/>
                <w:sz w:val="20"/>
                <w:szCs w:val="20"/>
              </w:rPr>
            </w:pPr>
            <w:r w:rsidRPr="0064652A">
              <w:rPr>
                <w:color w:val="000000"/>
                <w:sz w:val="20"/>
                <w:szCs w:val="20"/>
              </w:rPr>
              <w:t>101.DEF</w:t>
            </w:r>
          </w:p>
        </w:tc>
        <w:tc>
          <w:tcPr>
            <w:tcW w:w="4700" w:type="pct"/>
            <w:tcMar>
              <w:top w:w="5" w:type="dxa"/>
              <w:left w:w="5" w:type="dxa"/>
              <w:bottom w:w="5" w:type="dxa"/>
              <w:right w:w="5" w:type="dxa"/>
            </w:tcMar>
            <w:hideMark/>
          </w:tcPr>
          <w:p w14:paraId="19B2973B" w14:textId="77777777" w:rsidR="00C820B8" w:rsidRPr="0064652A" w:rsidRDefault="008D7FC6">
            <w:pPr>
              <w:rPr>
                <w:color w:val="000000"/>
                <w:sz w:val="20"/>
                <w:szCs w:val="20"/>
              </w:rPr>
            </w:pPr>
            <w:r w:rsidRPr="0064652A">
              <w:rPr>
                <w:color w:val="000000"/>
                <w:sz w:val="20"/>
                <w:szCs w:val="20"/>
              </w:rPr>
              <w:t>Inline XBRL Taxonomy Extension Definition Linkbase Document.*</w:t>
            </w:r>
          </w:p>
        </w:tc>
      </w:tr>
      <w:tr w:rsidR="00C820B8" w:rsidRPr="0064652A" w14:paraId="0E2B1BF5" w14:textId="77777777">
        <w:trPr>
          <w:jc w:val="center"/>
        </w:trPr>
        <w:tc>
          <w:tcPr>
            <w:tcW w:w="300" w:type="pct"/>
            <w:tcMar>
              <w:top w:w="5" w:type="dxa"/>
              <w:left w:w="5" w:type="dxa"/>
              <w:bottom w:w="5" w:type="dxa"/>
              <w:right w:w="5" w:type="dxa"/>
            </w:tcMar>
            <w:vAlign w:val="center"/>
            <w:hideMark/>
          </w:tcPr>
          <w:p w14:paraId="577407D0" w14:textId="77777777" w:rsidR="00C820B8" w:rsidRPr="0064652A" w:rsidRDefault="008D7FC6">
            <w:pPr>
              <w:rPr>
                <w:color w:val="000000"/>
                <w:sz w:val="20"/>
                <w:szCs w:val="20"/>
              </w:rPr>
            </w:pPr>
            <w:r w:rsidRPr="0064652A">
              <w:rPr>
                <w:color w:val="000000"/>
                <w:sz w:val="20"/>
                <w:szCs w:val="20"/>
              </w:rPr>
              <w:t> </w:t>
            </w:r>
          </w:p>
        </w:tc>
        <w:tc>
          <w:tcPr>
            <w:tcW w:w="4700" w:type="pct"/>
            <w:tcMar>
              <w:top w:w="5" w:type="dxa"/>
              <w:left w:w="5" w:type="dxa"/>
              <w:bottom w:w="5" w:type="dxa"/>
              <w:right w:w="5" w:type="dxa"/>
            </w:tcMar>
            <w:vAlign w:val="center"/>
            <w:hideMark/>
          </w:tcPr>
          <w:p w14:paraId="195C8A1C" w14:textId="77777777" w:rsidR="00C820B8" w:rsidRPr="0064652A" w:rsidRDefault="008D7FC6">
            <w:pPr>
              <w:rPr>
                <w:color w:val="000000"/>
                <w:sz w:val="20"/>
                <w:szCs w:val="20"/>
              </w:rPr>
            </w:pPr>
            <w:r w:rsidRPr="0064652A">
              <w:rPr>
                <w:color w:val="000000"/>
                <w:sz w:val="20"/>
                <w:szCs w:val="20"/>
              </w:rPr>
              <w:t> </w:t>
            </w:r>
          </w:p>
        </w:tc>
      </w:tr>
      <w:tr w:rsidR="00C820B8" w:rsidRPr="0064652A" w14:paraId="4E98F8CB" w14:textId="77777777">
        <w:trPr>
          <w:jc w:val="center"/>
        </w:trPr>
        <w:tc>
          <w:tcPr>
            <w:tcW w:w="300" w:type="pct"/>
            <w:tcMar>
              <w:top w:w="5" w:type="dxa"/>
              <w:left w:w="5" w:type="dxa"/>
              <w:bottom w:w="5" w:type="dxa"/>
              <w:right w:w="5" w:type="dxa"/>
            </w:tcMar>
            <w:hideMark/>
          </w:tcPr>
          <w:p w14:paraId="26DC39EE" w14:textId="77777777" w:rsidR="00C820B8" w:rsidRPr="0064652A" w:rsidRDefault="008D7FC6">
            <w:pPr>
              <w:rPr>
                <w:color w:val="000000"/>
                <w:sz w:val="20"/>
                <w:szCs w:val="20"/>
              </w:rPr>
            </w:pPr>
            <w:r w:rsidRPr="0064652A">
              <w:rPr>
                <w:color w:val="000000"/>
                <w:sz w:val="20"/>
                <w:szCs w:val="20"/>
              </w:rPr>
              <w:t>101.LAB</w:t>
            </w:r>
          </w:p>
        </w:tc>
        <w:tc>
          <w:tcPr>
            <w:tcW w:w="4700" w:type="pct"/>
            <w:tcMar>
              <w:top w:w="5" w:type="dxa"/>
              <w:left w:w="5" w:type="dxa"/>
              <w:bottom w:w="5" w:type="dxa"/>
              <w:right w:w="5" w:type="dxa"/>
            </w:tcMar>
            <w:hideMark/>
          </w:tcPr>
          <w:p w14:paraId="69A73494" w14:textId="77777777" w:rsidR="00C820B8" w:rsidRPr="0064652A" w:rsidRDefault="008D7FC6">
            <w:pPr>
              <w:rPr>
                <w:color w:val="000000"/>
                <w:sz w:val="20"/>
                <w:szCs w:val="20"/>
              </w:rPr>
            </w:pPr>
            <w:r w:rsidRPr="0064652A">
              <w:rPr>
                <w:color w:val="000000"/>
                <w:sz w:val="20"/>
                <w:szCs w:val="20"/>
              </w:rPr>
              <w:t>Inline XBRL Taxonomy Extension Label Linkbase Document.*</w:t>
            </w:r>
          </w:p>
        </w:tc>
      </w:tr>
      <w:tr w:rsidR="00C820B8" w:rsidRPr="0064652A" w14:paraId="10731151" w14:textId="77777777">
        <w:trPr>
          <w:jc w:val="center"/>
        </w:trPr>
        <w:tc>
          <w:tcPr>
            <w:tcW w:w="300" w:type="pct"/>
            <w:tcMar>
              <w:top w:w="5" w:type="dxa"/>
              <w:left w:w="5" w:type="dxa"/>
              <w:bottom w:w="5" w:type="dxa"/>
              <w:right w:w="5" w:type="dxa"/>
            </w:tcMar>
            <w:vAlign w:val="center"/>
            <w:hideMark/>
          </w:tcPr>
          <w:p w14:paraId="5D8D5438" w14:textId="77777777" w:rsidR="00C820B8" w:rsidRPr="0064652A" w:rsidRDefault="008D7FC6">
            <w:pPr>
              <w:rPr>
                <w:color w:val="000000"/>
                <w:sz w:val="20"/>
                <w:szCs w:val="20"/>
              </w:rPr>
            </w:pPr>
            <w:r w:rsidRPr="0064652A">
              <w:rPr>
                <w:color w:val="000000"/>
                <w:sz w:val="20"/>
                <w:szCs w:val="20"/>
              </w:rPr>
              <w:t> </w:t>
            </w:r>
          </w:p>
        </w:tc>
        <w:tc>
          <w:tcPr>
            <w:tcW w:w="4700" w:type="pct"/>
            <w:tcMar>
              <w:top w:w="5" w:type="dxa"/>
              <w:left w:w="5" w:type="dxa"/>
              <w:bottom w:w="5" w:type="dxa"/>
              <w:right w:w="5" w:type="dxa"/>
            </w:tcMar>
            <w:vAlign w:val="center"/>
            <w:hideMark/>
          </w:tcPr>
          <w:p w14:paraId="11E4C555" w14:textId="77777777" w:rsidR="00C820B8" w:rsidRPr="0064652A" w:rsidRDefault="008D7FC6">
            <w:pPr>
              <w:rPr>
                <w:color w:val="000000"/>
                <w:sz w:val="20"/>
                <w:szCs w:val="20"/>
              </w:rPr>
            </w:pPr>
            <w:r w:rsidRPr="0064652A">
              <w:rPr>
                <w:color w:val="000000"/>
                <w:sz w:val="20"/>
                <w:szCs w:val="20"/>
              </w:rPr>
              <w:t> </w:t>
            </w:r>
          </w:p>
        </w:tc>
      </w:tr>
      <w:tr w:rsidR="00C820B8" w:rsidRPr="0064652A" w14:paraId="21FB1592" w14:textId="77777777">
        <w:trPr>
          <w:jc w:val="center"/>
        </w:trPr>
        <w:tc>
          <w:tcPr>
            <w:tcW w:w="300" w:type="pct"/>
            <w:tcMar>
              <w:top w:w="5" w:type="dxa"/>
              <w:left w:w="5" w:type="dxa"/>
              <w:bottom w:w="5" w:type="dxa"/>
              <w:right w:w="5" w:type="dxa"/>
            </w:tcMar>
            <w:hideMark/>
          </w:tcPr>
          <w:p w14:paraId="296C1630" w14:textId="77777777" w:rsidR="00C820B8" w:rsidRPr="0064652A" w:rsidRDefault="008D7FC6">
            <w:pPr>
              <w:rPr>
                <w:color w:val="000000"/>
                <w:sz w:val="20"/>
                <w:szCs w:val="20"/>
              </w:rPr>
            </w:pPr>
            <w:r w:rsidRPr="0064652A">
              <w:rPr>
                <w:color w:val="000000"/>
                <w:sz w:val="20"/>
                <w:szCs w:val="20"/>
              </w:rPr>
              <w:t>101.PRE</w:t>
            </w:r>
          </w:p>
        </w:tc>
        <w:tc>
          <w:tcPr>
            <w:tcW w:w="4700" w:type="pct"/>
            <w:tcMar>
              <w:top w:w="5" w:type="dxa"/>
              <w:left w:w="5" w:type="dxa"/>
              <w:bottom w:w="5" w:type="dxa"/>
              <w:right w:w="5" w:type="dxa"/>
            </w:tcMar>
            <w:hideMark/>
          </w:tcPr>
          <w:p w14:paraId="329BE709" w14:textId="77777777" w:rsidR="00C820B8" w:rsidRPr="0064652A" w:rsidRDefault="008D7FC6">
            <w:pPr>
              <w:rPr>
                <w:color w:val="000000"/>
                <w:sz w:val="20"/>
                <w:szCs w:val="20"/>
              </w:rPr>
            </w:pPr>
            <w:r w:rsidRPr="0064652A">
              <w:rPr>
                <w:color w:val="000000"/>
                <w:sz w:val="20"/>
                <w:szCs w:val="20"/>
              </w:rPr>
              <w:t>Inline XBRL Taxonomy Extension Presentation Linkbase Document.*</w:t>
            </w:r>
          </w:p>
        </w:tc>
      </w:tr>
      <w:tr w:rsidR="00C820B8" w:rsidRPr="0064652A" w14:paraId="58B2FB08" w14:textId="77777777">
        <w:trPr>
          <w:jc w:val="center"/>
        </w:trPr>
        <w:tc>
          <w:tcPr>
            <w:tcW w:w="300" w:type="pct"/>
            <w:tcMar>
              <w:top w:w="5" w:type="dxa"/>
              <w:left w:w="5" w:type="dxa"/>
              <w:bottom w:w="5" w:type="dxa"/>
              <w:right w:w="5" w:type="dxa"/>
            </w:tcMar>
            <w:vAlign w:val="center"/>
            <w:hideMark/>
          </w:tcPr>
          <w:p w14:paraId="38773896" w14:textId="77777777" w:rsidR="00C820B8" w:rsidRPr="0064652A" w:rsidRDefault="008D7FC6">
            <w:pPr>
              <w:rPr>
                <w:color w:val="000000"/>
                <w:sz w:val="20"/>
                <w:szCs w:val="20"/>
              </w:rPr>
            </w:pPr>
            <w:r w:rsidRPr="0064652A">
              <w:rPr>
                <w:color w:val="000000"/>
                <w:sz w:val="20"/>
                <w:szCs w:val="20"/>
              </w:rPr>
              <w:t> </w:t>
            </w:r>
          </w:p>
        </w:tc>
        <w:tc>
          <w:tcPr>
            <w:tcW w:w="4700" w:type="pct"/>
            <w:tcMar>
              <w:top w:w="5" w:type="dxa"/>
              <w:left w:w="5" w:type="dxa"/>
              <w:bottom w:w="5" w:type="dxa"/>
              <w:right w:w="5" w:type="dxa"/>
            </w:tcMar>
            <w:vAlign w:val="center"/>
            <w:hideMark/>
          </w:tcPr>
          <w:p w14:paraId="50C2B552" w14:textId="77777777" w:rsidR="00C820B8" w:rsidRPr="0064652A" w:rsidRDefault="008D7FC6">
            <w:pPr>
              <w:rPr>
                <w:color w:val="000000"/>
                <w:sz w:val="20"/>
                <w:szCs w:val="20"/>
              </w:rPr>
            </w:pPr>
            <w:r w:rsidRPr="0064652A">
              <w:rPr>
                <w:color w:val="000000"/>
                <w:sz w:val="20"/>
                <w:szCs w:val="20"/>
              </w:rPr>
              <w:t> </w:t>
            </w:r>
          </w:p>
        </w:tc>
      </w:tr>
      <w:tr w:rsidR="00C820B8" w:rsidRPr="0064652A" w14:paraId="2B1E2760" w14:textId="77777777">
        <w:trPr>
          <w:jc w:val="center"/>
        </w:trPr>
        <w:tc>
          <w:tcPr>
            <w:tcW w:w="300" w:type="pct"/>
            <w:tcMar>
              <w:top w:w="5" w:type="dxa"/>
              <w:left w:w="5" w:type="dxa"/>
              <w:bottom w:w="5" w:type="dxa"/>
              <w:right w:w="5" w:type="dxa"/>
            </w:tcMar>
            <w:hideMark/>
          </w:tcPr>
          <w:p w14:paraId="65553F7D" w14:textId="77777777" w:rsidR="00C820B8" w:rsidRPr="0064652A" w:rsidRDefault="008D7FC6">
            <w:pPr>
              <w:rPr>
                <w:color w:val="000000"/>
                <w:sz w:val="20"/>
                <w:szCs w:val="20"/>
              </w:rPr>
            </w:pPr>
            <w:r w:rsidRPr="0064652A">
              <w:rPr>
                <w:color w:val="000000"/>
                <w:sz w:val="20"/>
                <w:szCs w:val="20"/>
              </w:rPr>
              <w:t>104</w:t>
            </w:r>
          </w:p>
        </w:tc>
        <w:tc>
          <w:tcPr>
            <w:tcW w:w="4700" w:type="pct"/>
            <w:tcMar>
              <w:top w:w="5" w:type="dxa"/>
              <w:left w:w="5" w:type="dxa"/>
              <w:bottom w:w="5" w:type="dxa"/>
              <w:right w:w="5" w:type="dxa"/>
            </w:tcMar>
            <w:hideMark/>
          </w:tcPr>
          <w:p w14:paraId="12719998" w14:textId="77777777" w:rsidR="00C820B8" w:rsidRPr="0064652A" w:rsidRDefault="008D7FC6">
            <w:pPr>
              <w:rPr>
                <w:color w:val="000000"/>
                <w:sz w:val="20"/>
                <w:szCs w:val="20"/>
              </w:rPr>
            </w:pPr>
            <w:r w:rsidRPr="0064652A">
              <w:rPr>
                <w:color w:val="000000"/>
                <w:sz w:val="20"/>
                <w:szCs w:val="20"/>
              </w:rPr>
              <w:t>Cover Page Interactive Data File (embedded within the Inline XBRL and contained in Exhibit 101)</w:t>
            </w:r>
          </w:p>
        </w:tc>
      </w:tr>
    </w:tbl>
    <w:p w14:paraId="3ED94878" w14:textId="77777777" w:rsidR="00C820B8" w:rsidRPr="0064652A" w:rsidRDefault="008D7FC6">
      <w:pPr>
        <w:rPr>
          <w:sz w:val="20"/>
          <w:szCs w:val="20"/>
        </w:rPr>
      </w:pPr>
      <w:r w:rsidRPr="0064652A">
        <w:rPr>
          <w:sz w:val="20"/>
          <w:szCs w:val="20"/>
        </w:rPr>
        <w:t> </w:t>
      </w:r>
    </w:p>
    <w:p w14:paraId="30BDFF15" w14:textId="77777777" w:rsidR="00C820B8" w:rsidRPr="0064652A" w:rsidRDefault="00000000">
      <w:pPr>
        <w:spacing w:before="60" w:after="60"/>
        <w:rPr>
          <w:color w:val="000000"/>
        </w:rPr>
      </w:pPr>
      <w:r w:rsidRPr="0064652A">
        <w:pict w14:anchorId="690D9FC2">
          <v:rect id="_x0000_i1034" style="width:46.8pt;height:.75pt" o:hrpct="100" o:hrstd="t" o:hrnoshade="t" o:hr="t" fillcolor="black" stroked="f">
            <v:path strokeok="f"/>
          </v:rect>
        </w:pict>
      </w:r>
    </w:p>
    <w:tbl>
      <w:tblPr>
        <w:tblW w:w="5000" w:type="pct"/>
        <w:tblInd w:w="5" w:type="dxa"/>
        <w:tblCellMar>
          <w:left w:w="0" w:type="dxa"/>
          <w:right w:w="0" w:type="dxa"/>
        </w:tblCellMar>
        <w:tblLook w:val="04A0" w:firstRow="1" w:lastRow="0" w:firstColumn="1" w:lastColumn="0" w:noHBand="0" w:noVBand="1"/>
      </w:tblPr>
      <w:tblGrid>
        <w:gridCol w:w="360"/>
        <w:gridCol w:w="10440"/>
      </w:tblGrid>
      <w:tr w:rsidR="00C820B8" w:rsidRPr="0064652A" w14:paraId="16EDCB3B" w14:textId="77777777">
        <w:tc>
          <w:tcPr>
            <w:tcW w:w="360" w:type="dxa"/>
            <w:tcMar>
              <w:top w:w="5" w:type="dxa"/>
              <w:left w:w="5" w:type="dxa"/>
              <w:bottom w:w="5" w:type="dxa"/>
              <w:right w:w="5" w:type="dxa"/>
            </w:tcMar>
            <w:hideMark/>
          </w:tcPr>
          <w:p w14:paraId="03EF9A28"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19F995A0" w14:textId="77777777" w:rsidR="00C820B8" w:rsidRPr="0064652A" w:rsidRDefault="008D7FC6">
            <w:pPr>
              <w:rPr>
                <w:color w:val="000000"/>
                <w:sz w:val="20"/>
                <w:szCs w:val="20"/>
              </w:rPr>
            </w:pPr>
            <w:r w:rsidRPr="0064652A">
              <w:rPr>
                <w:color w:val="000000"/>
                <w:sz w:val="20"/>
                <w:szCs w:val="20"/>
              </w:rPr>
              <w:t>filed herewith</w:t>
            </w:r>
          </w:p>
        </w:tc>
      </w:tr>
    </w:tbl>
    <w:p w14:paraId="3B9A6170" w14:textId="77777777" w:rsidR="00C820B8" w:rsidRPr="0064652A" w:rsidRDefault="00C820B8">
      <w:pPr>
        <w:rPr>
          <w:vanish/>
        </w:rPr>
      </w:pPr>
    </w:p>
    <w:tbl>
      <w:tblPr>
        <w:tblW w:w="5000" w:type="pct"/>
        <w:tblInd w:w="5" w:type="dxa"/>
        <w:tblCellMar>
          <w:left w:w="0" w:type="dxa"/>
          <w:right w:w="0" w:type="dxa"/>
        </w:tblCellMar>
        <w:tblLook w:val="04A0" w:firstRow="1" w:lastRow="0" w:firstColumn="1" w:lastColumn="0" w:noHBand="0" w:noVBand="1"/>
      </w:tblPr>
      <w:tblGrid>
        <w:gridCol w:w="360"/>
        <w:gridCol w:w="10440"/>
      </w:tblGrid>
      <w:tr w:rsidR="00C820B8" w:rsidRPr="0064652A" w14:paraId="6C9414D1" w14:textId="77777777">
        <w:tc>
          <w:tcPr>
            <w:tcW w:w="360" w:type="dxa"/>
            <w:tcMar>
              <w:top w:w="5" w:type="dxa"/>
              <w:left w:w="5" w:type="dxa"/>
              <w:bottom w:w="5" w:type="dxa"/>
              <w:right w:w="5" w:type="dxa"/>
            </w:tcMar>
            <w:hideMark/>
          </w:tcPr>
          <w:p w14:paraId="2C98D8B6" w14:textId="77777777" w:rsidR="00C820B8" w:rsidRPr="0064652A" w:rsidRDefault="008D7FC6">
            <w:pPr>
              <w:rPr>
                <w:color w:val="000000"/>
                <w:sz w:val="20"/>
                <w:szCs w:val="20"/>
              </w:rPr>
            </w:pPr>
            <w:r w:rsidRPr="0064652A">
              <w:rPr>
                <w:color w:val="000000"/>
                <w:sz w:val="20"/>
                <w:szCs w:val="20"/>
              </w:rPr>
              <w:t>**</w:t>
            </w:r>
          </w:p>
        </w:tc>
        <w:tc>
          <w:tcPr>
            <w:tcW w:w="0" w:type="auto"/>
            <w:tcMar>
              <w:top w:w="5" w:type="dxa"/>
              <w:left w:w="5" w:type="dxa"/>
              <w:bottom w:w="5" w:type="dxa"/>
              <w:right w:w="5" w:type="dxa"/>
            </w:tcMar>
            <w:hideMark/>
          </w:tcPr>
          <w:p w14:paraId="7EBE7B7B" w14:textId="77777777" w:rsidR="00C820B8" w:rsidRPr="0064652A" w:rsidRDefault="008D7FC6">
            <w:pPr>
              <w:rPr>
                <w:color w:val="000000"/>
                <w:sz w:val="20"/>
                <w:szCs w:val="20"/>
              </w:rPr>
            </w:pPr>
            <w:r w:rsidRPr="0064652A">
              <w:rPr>
                <w:color w:val="000000"/>
                <w:sz w:val="20"/>
                <w:szCs w:val="20"/>
              </w:rPr>
              <w:t>furnished herewith</w:t>
            </w:r>
          </w:p>
        </w:tc>
      </w:tr>
    </w:tbl>
    <w:p w14:paraId="07EF8EF0" w14:textId="77777777" w:rsidR="00C820B8" w:rsidRPr="0064652A" w:rsidRDefault="008D7FC6">
      <w:pPr>
        <w:rPr>
          <w:sz w:val="20"/>
          <w:szCs w:val="20"/>
        </w:rPr>
      </w:pPr>
      <w:r w:rsidRPr="0064652A">
        <w:rPr>
          <w:sz w:val="20"/>
          <w:szCs w:val="20"/>
        </w:rPr>
        <w:t> </w:t>
      </w:r>
    </w:p>
    <w:p w14:paraId="0C4B4E27" w14:textId="77777777" w:rsidR="00C820B8" w:rsidRPr="0064652A" w:rsidRDefault="008D7FC6">
      <w:pPr>
        <w:jc w:val="center"/>
        <w:rPr>
          <w:sz w:val="20"/>
          <w:szCs w:val="20"/>
        </w:rPr>
      </w:pPr>
      <w:r w:rsidRPr="0064652A">
        <w:rPr>
          <w:sz w:val="20"/>
          <w:szCs w:val="20"/>
        </w:rPr>
        <w:t>20</w:t>
      </w:r>
    </w:p>
    <w:p w14:paraId="4001F427" w14:textId="77777777" w:rsidR="00C820B8" w:rsidRPr="0064652A" w:rsidRDefault="008D7FC6">
      <w:r w:rsidRPr="0064652A">
        <w:br w:type="page"/>
      </w:r>
      <w:hyperlink w:anchor="toc" w:history="1">
        <w:r w:rsidRPr="0064652A">
          <w:rPr>
            <w:color w:val="0000EE"/>
            <w:sz w:val="20"/>
            <w:szCs w:val="20"/>
            <w:u w:val="single" w:color="0000EE"/>
          </w:rPr>
          <w:t>Table of Contents</w:t>
        </w:r>
      </w:hyperlink>
    </w:p>
    <w:p w14:paraId="260048AC" w14:textId="77777777" w:rsidR="00C820B8" w:rsidRPr="0064652A" w:rsidRDefault="008D7FC6">
      <w:pPr>
        <w:rPr>
          <w:sz w:val="20"/>
          <w:szCs w:val="20"/>
        </w:rPr>
      </w:pPr>
      <w:r w:rsidRPr="0064652A">
        <w:rPr>
          <w:sz w:val="20"/>
          <w:szCs w:val="20"/>
        </w:rPr>
        <w:t> </w:t>
      </w:r>
    </w:p>
    <w:p w14:paraId="73F0B36A" w14:textId="77777777" w:rsidR="00C820B8" w:rsidRPr="0064652A" w:rsidRDefault="008D7FC6">
      <w:pPr>
        <w:rPr>
          <w:sz w:val="20"/>
          <w:szCs w:val="20"/>
        </w:rPr>
      </w:pPr>
      <w:bookmarkStart w:id="53" w:name="sigs"/>
      <w:bookmarkEnd w:id="53"/>
      <w:r w:rsidRPr="0064652A">
        <w:rPr>
          <w:sz w:val="20"/>
          <w:szCs w:val="20"/>
        </w:rPr>
        <w:t>SIGNATURES</w:t>
      </w:r>
    </w:p>
    <w:p w14:paraId="741FEDE7" w14:textId="77777777" w:rsidR="00C820B8" w:rsidRPr="0064652A" w:rsidRDefault="008D7FC6">
      <w:pPr>
        <w:rPr>
          <w:sz w:val="20"/>
          <w:szCs w:val="20"/>
        </w:rPr>
      </w:pPr>
      <w:r w:rsidRPr="0064652A">
        <w:rPr>
          <w:sz w:val="20"/>
          <w:szCs w:val="20"/>
        </w:rPr>
        <w:t> </w:t>
      </w:r>
    </w:p>
    <w:p w14:paraId="07F6B5A0" w14:textId="77777777" w:rsidR="00C820B8" w:rsidRPr="0064652A" w:rsidRDefault="008D7FC6">
      <w:pPr>
        <w:ind w:firstLine="500"/>
        <w:rPr>
          <w:sz w:val="20"/>
          <w:szCs w:val="20"/>
        </w:rPr>
      </w:pPr>
      <w:r w:rsidRPr="0064652A">
        <w:rPr>
          <w:sz w:val="20"/>
          <w:szCs w:val="20"/>
        </w:rPr>
        <w:t>Pursuant to the requirements of the Securities Exchange Act of 1934, the Registrant has duly caused this report to be signed on its behalf by the undersigned thereunto duly authorized.</w:t>
      </w:r>
    </w:p>
    <w:p w14:paraId="1EA27499" w14:textId="77777777" w:rsidR="00C820B8" w:rsidRPr="0064652A" w:rsidRDefault="008D7FC6">
      <w:pPr>
        <w:ind w:firstLine="500"/>
        <w:rPr>
          <w:sz w:val="20"/>
          <w:szCs w:val="20"/>
        </w:rPr>
      </w:pPr>
      <w:r w:rsidRPr="0064652A">
        <w:rPr>
          <w:sz w:val="20"/>
          <w:szCs w:val="20"/>
        </w:rPr>
        <w:t> </w:t>
      </w:r>
    </w:p>
    <w:p w14:paraId="595FD145" w14:textId="77777777" w:rsidR="00C820B8" w:rsidRPr="0064652A" w:rsidRDefault="008D7FC6">
      <w:pPr>
        <w:ind w:firstLine="500"/>
        <w:rPr>
          <w:sz w:val="20"/>
          <w:szCs w:val="20"/>
        </w:rPr>
      </w:pPr>
      <w:r w:rsidRPr="0064652A">
        <w:rPr>
          <w:sz w:val="20"/>
          <w:szCs w:val="20"/>
        </w:rPr>
        <w:t> </w:t>
      </w:r>
    </w:p>
    <w:tbl>
      <w:tblPr>
        <w:tblW w:w="5000" w:type="pct"/>
        <w:jc w:val="center"/>
        <w:tblCellMar>
          <w:left w:w="0" w:type="dxa"/>
          <w:right w:w="0" w:type="dxa"/>
        </w:tblCellMar>
        <w:tblLook w:val="04A0" w:firstRow="1" w:lastRow="0" w:firstColumn="1" w:lastColumn="0" w:noHBand="0" w:noVBand="1"/>
      </w:tblPr>
      <w:tblGrid>
        <w:gridCol w:w="6480"/>
        <w:gridCol w:w="4320"/>
      </w:tblGrid>
      <w:tr w:rsidR="00C820B8" w:rsidRPr="0064652A" w14:paraId="1FF3DDF2" w14:textId="77777777">
        <w:trPr>
          <w:jc w:val="center"/>
        </w:trPr>
        <w:tc>
          <w:tcPr>
            <w:tcW w:w="3000" w:type="pct"/>
            <w:tcMar>
              <w:top w:w="5" w:type="dxa"/>
              <w:left w:w="5" w:type="dxa"/>
              <w:bottom w:w="5" w:type="dxa"/>
              <w:right w:w="5" w:type="dxa"/>
            </w:tcMar>
            <w:vAlign w:val="bottom"/>
            <w:hideMark/>
          </w:tcPr>
          <w:p w14:paraId="4BEC2D0A" w14:textId="77777777" w:rsidR="00C820B8" w:rsidRPr="0064652A" w:rsidRDefault="008D7FC6">
            <w:pPr>
              <w:rPr>
                <w:color w:val="000000"/>
                <w:sz w:val="20"/>
                <w:szCs w:val="20"/>
              </w:rPr>
            </w:pPr>
            <w:r w:rsidRPr="0064652A">
              <w:rPr>
                <w:color w:val="000000"/>
                <w:sz w:val="20"/>
                <w:szCs w:val="20"/>
              </w:rPr>
              <w:t> </w:t>
            </w:r>
          </w:p>
        </w:tc>
        <w:tc>
          <w:tcPr>
            <w:tcW w:w="2000" w:type="pct"/>
            <w:tcMar>
              <w:top w:w="5" w:type="dxa"/>
              <w:left w:w="5" w:type="dxa"/>
              <w:bottom w:w="5" w:type="dxa"/>
              <w:right w:w="5" w:type="dxa"/>
            </w:tcMar>
            <w:vAlign w:val="bottom"/>
            <w:hideMark/>
          </w:tcPr>
          <w:p w14:paraId="3E88C4D4" w14:textId="77777777" w:rsidR="00C820B8" w:rsidRPr="0064652A" w:rsidRDefault="008D7FC6">
            <w:pPr>
              <w:rPr>
                <w:color w:val="000000"/>
                <w:sz w:val="20"/>
                <w:szCs w:val="20"/>
              </w:rPr>
            </w:pPr>
            <w:r w:rsidRPr="0064652A">
              <w:rPr>
                <w:color w:val="000000"/>
                <w:sz w:val="20"/>
                <w:szCs w:val="20"/>
                <w:u w:val="single" w:color="000000"/>
              </w:rPr>
              <w:t>EMERSON RADIO CORP.</w:t>
            </w:r>
          </w:p>
        </w:tc>
      </w:tr>
      <w:tr w:rsidR="00C820B8" w:rsidRPr="0064652A" w14:paraId="694ACFE2" w14:textId="77777777">
        <w:trPr>
          <w:jc w:val="center"/>
        </w:trPr>
        <w:tc>
          <w:tcPr>
            <w:tcW w:w="3000" w:type="pct"/>
            <w:tcMar>
              <w:top w:w="5" w:type="dxa"/>
              <w:left w:w="5" w:type="dxa"/>
              <w:bottom w:w="5" w:type="dxa"/>
              <w:right w:w="5" w:type="dxa"/>
            </w:tcMar>
            <w:vAlign w:val="bottom"/>
            <w:hideMark/>
          </w:tcPr>
          <w:p w14:paraId="69965A17" w14:textId="77777777" w:rsidR="00C820B8" w:rsidRPr="0064652A" w:rsidRDefault="008D7FC6">
            <w:pPr>
              <w:rPr>
                <w:color w:val="000000"/>
                <w:sz w:val="20"/>
                <w:szCs w:val="20"/>
              </w:rPr>
            </w:pPr>
            <w:r w:rsidRPr="0064652A">
              <w:rPr>
                <w:color w:val="000000"/>
                <w:sz w:val="20"/>
                <w:szCs w:val="20"/>
              </w:rPr>
              <w:t> </w:t>
            </w:r>
          </w:p>
        </w:tc>
        <w:tc>
          <w:tcPr>
            <w:tcW w:w="2000" w:type="pct"/>
            <w:tcMar>
              <w:top w:w="5" w:type="dxa"/>
              <w:left w:w="5" w:type="dxa"/>
              <w:bottom w:w="5" w:type="dxa"/>
              <w:right w:w="5" w:type="dxa"/>
            </w:tcMar>
            <w:vAlign w:val="bottom"/>
            <w:hideMark/>
          </w:tcPr>
          <w:p w14:paraId="480B01A4" w14:textId="77777777" w:rsidR="00C820B8" w:rsidRPr="0064652A" w:rsidRDefault="008D7FC6">
            <w:pPr>
              <w:rPr>
                <w:color w:val="000000"/>
                <w:sz w:val="20"/>
                <w:szCs w:val="20"/>
              </w:rPr>
            </w:pPr>
            <w:r w:rsidRPr="0064652A">
              <w:rPr>
                <w:color w:val="000000"/>
                <w:sz w:val="20"/>
                <w:szCs w:val="20"/>
              </w:rPr>
              <w:t>(Registrant)</w:t>
            </w:r>
          </w:p>
        </w:tc>
      </w:tr>
      <w:tr w:rsidR="00C820B8" w:rsidRPr="0064652A" w14:paraId="1DBAA6A5" w14:textId="77777777">
        <w:trPr>
          <w:jc w:val="center"/>
        </w:trPr>
        <w:tc>
          <w:tcPr>
            <w:tcW w:w="3000" w:type="pct"/>
            <w:tcMar>
              <w:top w:w="5" w:type="dxa"/>
              <w:left w:w="5" w:type="dxa"/>
              <w:bottom w:w="5" w:type="dxa"/>
              <w:right w:w="5" w:type="dxa"/>
            </w:tcMar>
            <w:vAlign w:val="bottom"/>
            <w:hideMark/>
          </w:tcPr>
          <w:p w14:paraId="76161319" w14:textId="77777777" w:rsidR="00C820B8" w:rsidRPr="0064652A" w:rsidRDefault="008D7FC6">
            <w:pPr>
              <w:rPr>
                <w:color w:val="000000"/>
                <w:sz w:val="20"/>
                <w:szCs w:val="20"/>
              </w:rPr>
            </w:pPr>
            <w:r w:rsidRPr="0064652A">
              <w:rPr>
                <w:color w:val="000000"/>
                <w:sz w:val="20"/>
                <w:szCs w:val="20"/>
              </w:rPr>
              <w:t> </w:t>
            </w:r>
          </w:p>
        </w:tc>
        <w:tc>
          <w:tcPr>
            <w:tcW w:w="2000" w:type="pct"/>
            <w:tcMar>
              <w:top w:w="5" w:type="dxa"/>
              <w:left w:w="5" w:type="dxa"/>
              <w:bottom w:w="5" w:type="dxa"/>
              <w:right w:w="5" w:type="dxa"/>
            </w:tcMar>
            <w:vAlign w:val="bottom"/>
            <w:hideMark/>
          </w:tcPr>
          <w:p w14:paraId="47E7ABE7" w14:textId="77777777" w:rsidR="00C820B8" w:rsidRPr="0064652A" w:rsidRDefault="008D7FC6">
            <w:pPr>
              <w:rPr>
                <w:color w:val="000000"/>
                <w:sz w:val="20"/>
                <w:szCs w:val="20"/>
              </w:rPr>
            </w:pPr>
            <w:r w:rsidRPr="0064652A">
              <w:rPr>
                <w:color w:val="000000"/>
                <w:sz w:val="20"/>
                <w:szCs w:val="20"/>
              </w:rPr>
              <w:t> </w:t>
            </w:r>
          </w:p>
        </w:tc>
      </w:tr>
      <w:tr w:rsidR="00C820B8" w:rsidRPr="0064652A" w14:paraId="45B22860" w14:textId="77777777">
        <w:trPr>
          <w:jc w:val="center"/>
        </w:trPr>
        <w:tc>
          <w:tcPr>
            <w:tcW w:w="3000" w:type="pct"/>
            <w:tcMar>
              <w:top w:w="5" w:type="dxa"/>
              <w:left w:w="5" w:type="dxa"/>
              <w:bottom w:w="5" w:type="dxa"/>
              <w:right w:w="5" w:type="dxa"/>
            </w:tcMar>
            <w:vAlign w:val="bottom"/>
            <w:hideMark/>
          </w:tcPr>
          <w:p w14:paraId="1C97C6BC" w14:textId="77777777" w:rsidR="00C820B8" w:rsidRPr="0064652A" w:rsidRDefault="008D7FC6">
            <w:pPr>
              <w:rPr>
                <w:color w:val="000000"/>
                <w:sz w:val="20"/>
                <w:szCs w:val="20"/>
              </w:rPr>
            </w:pPr>
            <w:r w:rsidRPr="0064652A">
              <w:rPr>
                <w:color w:val="000000"/>
                <w:sz w:val="20"/>
                <w:szCs w:val="20"/>
              </w:rPr>
              <w:t> </w:t>
            </w:r>
          </w:p>
        </w:tc>
        <w:tc>
          <w:tcPr>
            <w:tcW w:w="2000" w:type="pct"/>
            <w:tcBorders>
              <w:bottom w:val="single" w:sz="6" w:space="0" w:color="000000"/>
            </w:tcBorders>
            <w:tcMar>
              <w:top w:w="5" w:type="dxa"/>
              <w:left w:w="5" w:type="dxa"/>
              <w:bottom w:w="8" w:type="dxa"/>
              <w:right w:w="5" w:type="dxa"/>
            </w:tcMar>
            <w:vAlign w:val="bottom"/>
            <w:hideMark/>
          </w:tcPr>
          <w:p w14:paraId="05AFD605" w14:textId="77777777" w:rsidR="00C820B8" w:rsidRPr="0064652A" w:rsidRDefault="008D7FC6">
            <w:pPr>
              <w:rPr>
                <w:color w:val="000000"/>
                <w:sz w:val="20"/>
                <w:szCs w:val="20"/>
              </w:rPr>
            </w:pPr>
            <w:r w:rsidRPr="0064652A">
              <w:rPr>
                <w:color w:val="000000"/>
                <w:sz w:val="20"/>
                <w:szCs w:val="20"/>
              </w:rPr>
              <w:t>/s/ Christopher W. Ho</w:t>
            </w:r>
          </w:p>
        </w:tc>
      </w:tr>
      <w:tr w:rsidR="00C820B8" w:rsidRPr="0064652A" w14:paraId="058281F1" w14:textId="77777777">
        <w:trPr>
          <w:jc w:val="center"/>
        </w:trPr>
        <w:tc>
          <w:tcPr>
            <w:tcW w:w="3000" w:type="pct"/>
            <w:tcMar>
              <w:top w:w="5" w:type="dxa"/>
              <w:left w:w="5" w:type="dxa"/>
              <w:bottom w:w="5" w:type="dxa"/>
              <w:right w:w="5" w:type="dxa"/>
            </w:tcMar>
            <w:vAlign w:val="bottom"/>
            <w:hideMark/>
          </w:tcPr>
          <w:p w14:paraId="5EC3CB4E" w14:textId="77777777" w:rsidR="00C820B8" w:rsidRPr="0064652A" w:rsidRDefault="008D7FC6">
            <w:pPr>
              <w:rPr>
                <w:color w:val="000000"/>
                <w:sz w:val="20"/>
                <w:szCs w:val="20"/>
              </w:rPr>
            </w:pPr>
            <w:r w:rsidRPr="0064652A">
              <w:rPr>
                <w:color w:val="000000"/>
                <w:sz w:val="20"/>
                <w:szCs w:val="20"/>
              </w:rPr>
              <w:t xml:space="preserve">Date: </w:t>
            </w:r>
            <w:bookmarkStart w:id="54" w:name="led288631F2022881662680581654"/>
            <w:r w:rsidRPr="0064652A">
              <w:rPr>
                <w:color w:val="000000"/>
                <w:sz w:val="20"/>
                <w:szCs w:val="20"/>
              </w:rPr>
              <w:t>February 20, 2024</w:t>
            </w:r>
          </w:p>
        </w:tc>
        <w:tc>
          <w:tcPr>
            <w:tcW w:w="2000" w:type="pct"/>
            <w:tcMar>
              <w:top w:w="5" w:type="dxa"/>
              <w:left w:w="5" w:type="dxa"/>
              <w:bottom w:w="5" w:type="dxa"/>
              <w:right w:w="5" w:type="dxa"/>
            </w:tcMar>
            <w:vAlign w:val="bottom"/>
            <w:hideMark/>
          </w:tcPr>
          <w:p w14:paraId="185B66C6" w14:textId="77777777" w:rsidR="00C820B8" w:rsidRPr="0064652A" w:rsidRDefault="008D7FC6">
            <w:pPr>
              <w:rPr>
                <w:color w:val="000000"/>
                <w:sz w:val="20"/>
                <w:szCs w:val="20"/>
              </w:rPr>
            </w:pPr>
            <w:r w:rsidRPr="0064652A">
              <w:rPr>
                <w:color w:val="000000"/>
                <w:sz w:val="20"/>
                <w:szCs w:val="20"/>
              </w:rPr>
              <w:t>Christopher W. Ho</w:t>
            </w:r>
          </w:p>
        </w:tc>
      </w:tr>
      <w:tr w:rsidR="00C820B8" w:rsidRPr="0064652A" w14:paraId="52FDDB94" w14:textId="77777777">
        <w:trPr>
          <w:jc w:val="center"/>
        </w:trPr>
        <w:tc>
          <w:tcPr>
            <w:tcW w:w="3000" w:type="pct"/>
            <w:tcMar>
              <w:top w:w="5" w:type="dxa"/>
              <w:left w:w="5" w:type="dxa"/>
              <w:bottom w:w="5" w:type="dxa"/>
              <w:right w:w="5" w:type="dxa"/>
            </w:tcMar>
            <w:vAlign w:val="bottom"/>
            <w:hideMark/>
          </w:tcPr>
          <w:p w14:paraId="7ABF9D04" w14:textId="77777777" w:rsidR="00C820B8" w:rsidRPr="0064652A" w:rsidRDefault="008D7FC6">
            <w:pPr>
              <w:rPr>
                <w:color w:val="000000"/>
                <w:sz w:val="20"/>
                <w:szCs w:val="20"/>
              </w:rPr>
            </w:pPr>
            <w:r w:rsidRPr="0064652A">
              <w:rPr>
                <w:color w:val="000000"/>
                <w:sz w:val="20"/>
                <w:szCs w:val="20"/>
              </w:rPr>
              <w:t> </w:t>
            </w:r>
          </w:p>
        </w:tc>
        <w:tc>
          <w:tcPr>
            <w:tcW w:w="2000" w:type="pct"/>
            <w:tcMar>
              <w:top w:w="5" w:type="dxa"/>
              <w:left w:w="5" w:type="dxa"/>
              <w:bottom w:w="5" w:type="dxa"/>
              <w:right w:w="5" w:type="dxa"/>
            </w:tcMar>
            <w:vAlign w:val="bottom"/>
            <w:hideMark/>
          </w:tcPr>
          <w:p w14:paraId="23F79193" w14:textId="77777777" w:rsidR="00C820B8" w:rsidRPr="0064652A" w:rsidRDefault="008D7FC6">
            <w:pPr>
              <w:rPr>
                <w:color w:val="000000"/>
                <w:sz w:val="20"/>
                <w:szCs w:val="20"/>
              </w:rPr>
            </w:pPr>
            <w:r w:rsidRPr="0064652A">
              <w:rPr>
                <w:color w:val="000000"/>
                <w:sz w:val="20"/>
                <w:szCs w:val="20"/>
              </w:rPr>
              <w:t>Chief Executive Officer</w:t>
            </w:r>
          </w:p>
          <w:p w14:paraId="6B987643" w14:textId="77777777" w:rsidR="00C820B8" w:rsidRPr="0064652A" w:rsidRDefault="008D7FC6">
            <w:pPr>
              <w:rPr>
                <w:color w:val="000000"/>
                <w:sz w:val="20"/>
                <w:szCs w:val="20"/>
              </w:rPr>
            </w:pPr>
            <w:r w:rsidRPr="0064652A">
              <w:rPr>
                <w:color w:val="000000"/>
                <w:sz w:val="20"/>
                <w:szCs w:val="20"/>
              </w:rPr>
              <w:t>(Principal Executive Officer)</w:t>
            </w:r>
          </w:p>
        </w:tc>
      </w:tr>
      <w:tr w:rsidR="00C820B8" w:rsidRPr="0064652A" w14:paraId="235AFF2B" w14:textId="77777777">
        <w:trPr>
          <w:jc w:val="center"/>
        </w:trPr>
        <w:tc>
          <w:tcPr>
            <w:tcW w:w="3000" w:type="pct"/>
            <w:tcMar>
              <w:top w:w="5" w:type="dxa"/>
              <w:left w:w="5" w:type="dxa"/>
              <w:bottom w:w="5" w:type="dxa"/>
              <w:right w:w="5" w:type="dxa"/>
            </w:tcMar>
            <w:vAlign w:val="bottom"/>
            <w:hideMark/>
          </w:tcPr>
          <w:p w14:paraId="6FDDA4B0" w14:textId="77777777" w:rsidR="00C820B8" w:rsidRPr="0064652A" w:rsidRDefault="008D7FC6">
            <w:pPr>
              <w:rPr>
                <w:color w:val="000000"/>
                <w:sz w:val="20"/>
                <w:szCs w:val="20"/>
              </w:rPr>
            </w:pPr>
            <w:r w:rsidRPr="0064652A">
              <w:rPr>
                <w:color w:val="000000"/>
                <w:sz w:val="20"/>
                <w:szCs w:val="20"/>
              </w:rPr>
              <w:t> </w:t>
            </w:r>
          </w:p>
        </w:tc>
        <w:tc>
          <w:tcPr>
            <w:tcW w:w="2000" w:type="pct"/>
            <w:tcMar>
              <w:top w:w="5" w:type="dxa"/>
              <w:left w:w="5" w:type="dxa"/>
              <w:bottom w:w="5" w:type="dxa"/>
              <w:right w:w="5" w:type="dxa"/>
            </w:tcMar>
            <w:vAlign w:val="bottom"/>
            <w:hideMark/>
          </w:tcPr>
          <w:p w14:paraId="2503F1AB" w14:textId="77777777" w:rsidR="00C820B8" w:rsidRPr="0064652A" w:rsidRDefault="008D7FC6">
            <w:pPr>
              <w:rPr>
                <w:color w:val="000000"/>
                <w:sz w:val="20"/>
                <w:szCs w:val="20"/>
              </w:rPr>
            </w:pPr>
            <w:r w:rsidRPr="0064652A">
              <w:rPr>
                <w:color w:val="000000"/>
                <w:sz w:val="20"/>
                <w:szCs w:val="20"/>
              </w:rPr>
              <w:t> </w:t>
            </w:r>
          </w:p>
        </w:tc>
      </w:tr>
      <w:tr w:rsidR="00C820B8" w:rsidRPr="0064652A" w14:paraId="1225F965" w14:textId="77777777">
        <w:trPr>
          <w:jc w:val="center"/>
        </w:trPr>
        <w:tc>
          <w:tcPr>
            <w:tcW w:w="3000" w:type="pct"/>
            <w:tcMar>
              <w:top w:w="5" w:type="dxa"/>
              <w:left w:w="5" w:type="dxa"/>
              <w:bottom w:w="5" w:type="dxa"/>
              <w:right w:w="5" w:type="dxa"/>
            </w:tcMar>
            <w:vAlign w:val="bottom"/>
            <w:hideMark/>
          </w:tcPr>
          <w:p w14:paraId="74FBEA7C" w14:textId="77777777" w:rsidR="00C820B8" w:rsidRPr="0064652A" w:rsidRDefault="008D7FC6">
            <w:pPr>
              <w:rPr>
                <w:color w:val="000000"/>
                <w:sz w:val="20"/>
                <w:szCs w:val="20"/>
              </w:rPr>
            </w:pPr>
            <w:r w:rsidRPr="0064652A">
              <w:rPr>
                <w:color w:val="000000"/>
                <w:sz w:val="20"/>
                <w:szCs w:val="20"/>
              </w:rPr>
              <w:t> </w:t>
            </w:r>
          </w:p>
        </w:tc>
        <w:tc>
          <w:tcPr>
            <w:tcW w:w="2000" w:type="pct"/>
            <w:tcBorders>
              <w:bottom w:val="single" w:sz="6" w:space="0" w:color="000000"/>
            </w:tcBorders>
            <w:tcMar>
              <w:top w:w="5" w:type="dxa"/>
              <w:left w:w="5" w:type="dxa"/>
              <w:bottom w:w="8" w:type="dxa"/>
              <w:right w:w="5" w:type="dxa"/>
            </w:tcMar>
            <w:vAlign w:val="bottom"/>
            <w:hideMark/>
          </w:tcPr>
          <w:p w14:paraId="7F5F9D64" w14:textId="77777777" w:rsidR="00C820B8" w:rsidRPr="0064652A" w:rsidRDefault="008D7FC6">
            <w:pPr>
              <w:rPr>
                <w:color w:val="000000"/>
                <w:sz w:val="20"/>
                <w:szCs w:val="20"/>
              </w:rPr>
            </w:pPr>
            <w:r w:rsidRPr="0064652A">
              <w:rPr>
                <w:color w:val="000000"/>
                <w:sz w:val="20"/>
                <w:szCs w:val="20"/>
              </w:rPr>
              <w:t>/s/ Richard Li</w:t>
            </w:r>
          </w:p>
        </w:tc>
      </w:tr>
      <w:tr w:rsidR="00C820B8" w:rsidRPr="0064652A" w14:paraId="2C51404D" w14:textId="77777777">
        <w:trPr>
          <w:jc w:val="center"/>
        </w:trPr>
        <w:tc>
          <w:tcPr>
            <w:tcW w:w="3000" w:type="pct"/>
            <w:tcMar>
              <w:top w:w="5" w:type="dxa"/>
              <w:left w:w="5" w:type="dxa"/>
              <w:bottom w:w="5" w:type="dxa"/>
              <w:right w:w="5" w:type="dxa"/>
            </w:tcMar>
            <w:vAlign w:val="bottom"/>
            <w:hideMark/>
          </w:tcPr>
          <w:p w14:paraId="55DD591A" w14:textId="77777777" w:rsidR="00C820B8" w:rsidRPr="0064652A" w:rsidRDefault="008D7FC6">
            <w:pPr>
              <w:rPr>
                <w:color w:val="000000"/>
                <w:sz w:val="20"/>
                <w:szCs w:val="20"/>
              </w:rPr>
            </w:pPr>
            <w:r w:rsidRPr="0064652A">
              <w:rPr>
                <w:color w:val="000000"/>
                <w:sz w:val="20"/>
                <w:szCs w:val="20"/>
              </w:rPr>
              <w:t>Date: February 20, 2024</w:t>
            </w:r>
            <w:bookmarkEnd w:id="54"/>
          </w:p>
        </w:tc>
        <w:tc>
          <w:tcPr>
            <w:tcW w:w="2000" w:type="pct"/>
            <w:tcMar>
              <w:top w:w="5" w:type="dxa"/>
              <w:left w:w="5" w:type="dxa"/>
              <w:bottom w:w="5" w:type="dxa"/>
              <w:right w:w="5" w:type="dxa"/>
            </w:tcMar>
            <w:vAlign w:val="bottom"/>
            <w:hideMark/>
          </w:tcPr>
          <w:p w14:paraId="27B02A3D" w14:textId="77777777" w:rsidR="00C820B8" w:rsidRPr="0064652A" w:rsidRDefault="008D7FC6">
            <w:pPr>
              <w:rPr>
                <w:color w:val="000000"/>
                <w:sz w:val="20"/>
                <w:szCs w:val="20"/>
              </w:rPr>
            </w:pPr>
            <w:r w:rsidRPr="0064652A">
              <w:rPr>
                <w:color w:val="000000"/>
                <w:sz w:val="20"/>
                <w:szCs w:val="20"/>
              </w:rPr>
              <w:t>Richard Li</w:t>
            </w:r>
          </w:p>
        </w:tc>
      </w:tr>
      <w:tr w:rsidR="00C820B8" w:rsidRPr="0064652A" w14:paraId="19ECEC2D" w14:textId="77777777">
        <w:trPr>
          <w:jc w:val="center"/>
        </w:trPr>
        <w:tc>
          <w:tcPr>
            <w:tcW w:w="3000" w:type="pct"/>
            <w:tcMar>
              <w:top w:w="5" w:type="dxa"/>
              <w:left w:w="5" w:type="dxa"/>
              <w:bottom w:w="5" w:type="dxa"/>
              <w:right w:w="5" w:type="dxa"/>
            </w:tcMar>
            <w:vAlign w:val="bottom"/>
            <w:hideMark/>
          </w:tcPr>
          <w:p w14:paraId="441C9128" w14:textId="77777777" w:rsidR="00C820B8" w:rsidRPr="0064652A" w:rsidRDefault="008D7FC6">
            <w:pPr>
              <w:rPr>
                <w:color w:val="000000"/>
                <w:sz w:val="20"/>
                <w:szCs w:val="20"/>
              </w:rPr>
            </w:pPr>
            <w:r w:rsidRPr="0064652A">
              <w:rPr>
                <w:color w:val="000000"/>
                <w:sz w:val="20"/>
                <w:szCs w:val="20"/>
              </w:rPr>
              <w:t> </w:t>
            </w:r>
          </w:p>
        </w:tc>
        <w:tc>
          <w:tcPr>
            <w:tcW w:w="2000" w:type="pct"/>
            <w:tcMar>
              <w:top w:w="5" w:type="dxa"/>
              <w:left w:w="5" w:type="dxa"/>
              <w:bottom w:w="5" w:type="dxa"/>
              <w:right w:w="5" w:type="dxa"/>
            </w:tcMar>
            <w:vAlign w:val="bottom"/>
            <w:hideMark/>
          </w:tcPr>
          <w:p w14:paraId="16F97470" w14:textId="77777777" w:rsidR="00C820B8" w:rsidRPr="0064652A" w:rsidRDefault="008D7FC6">
            <w:pPr>
              <w:rPr>
                <w:color w:val="000000"/>
                <w:sz w:val="20"/>
                <w:szCs w:val="20"/>
              </w:rPr>
            </w:pPr>
            <w:r w:rsidRPr="0064652A">
              <w:rPr>
                <w:color w:val="000000"/>
                <w:sz w:val="20"/>
                <w:szCs w:val="20"/>
              </w:rPr>
              <w:t>Chief Financial Officer</w:t>
            </w:r>
          </w:p>
          <w:p w14:paraId="7AF4BC68" w14:textId="77777777" w:rsidR="00C820B8" w:rsidRPr="0064652A" w:rsidRDefault="008D7FC6">
            <w:pPr>
              <w:rPr>
                <w:color w:val="000000"/>
                <w:sz w:val="20"/>
                <w:szCs w:val="20"/>
              </w:rPr>
            </w:pPr>
            <w:r w:rsidRPr="0064652A">
              <w:rPr>
                <w:color w:val="000000"/>
                <w:sz w:val="20"/>
                <w:szCs w:val="20"/>
              </w:rPr>
              <w:t>(Principal Financial and Accounting Officer)</w:t>
            </w:r>
          </w:p>
        </w:tc>
      </w:tr>
    </w:tbl>
    <w:p w14:paraId="312D40B5" w14:textId="77777777" w:rsidR="00C820B8" w:rsidRPr="0064652A" w:rsidRDefault="008D7FC6">
      <w:pPr>
        <w:rPr>
          <w:sz w:val="20"/>
          <w:szCs w:val="20"/>
        </w:rPr>
      </w:pPr>
      <w:r w:rsidRPr="0064652A">
        <w:rPr>
          <w:sz w:val="20"/>
          <w:szCs w:val="20"/>
        </w:rPr>
        <w:t> </w:t>
      </w:r>
    </w:p>
    <w:p w14:paraId="301828BC" w14:textId="77777777" w:rsidR="00C820B8" w:rsidRPr="0064652A" w:rsidRDefault="008D7FC6">
      <w:pPr>
        <w:jc w:val="right"/>
        <w:rPr>
          <w:sz w:val="20"/>
          <w:szCs w:val="20"/>
        </w:rPr>
      </w:pPr>
      <w:r w:rsidRPr="0064652A">
        <w:rPr>
          <w:sz w:val="20"/>
          <w:szCs w:val="20"/>
        </w:rPr>
        <w:t> </w:t>
      </w:r>
    </w:p>
    <w:p w14:paraId="29DF8AFE" w14:textId="77777777" w:rsidR="00C820B8" w:rsidRPr="0064652A" w:rsidRDefault="008D7FC6">
      <w:pPr>
        <w:jc w:val="center"/>
        <w:rPr>
          <w:sz w:val="20"/>
          <w:szCs w:val="20"/>
        </w:rPr>
        <w:sectPr w:rsidR="00C820B8" w:rsidRPr="0064652A" w:rsidSect="002C1B0F">
          <w:pgSz w:w="12240" w:h="15840"/>
          <w:pgMar w:top="576" w:right="720" w:bottom="576" w:left="720" w:header="144" w:footer="432" w:gutter="0"/>
          <w:cols w:space="720"/>
        </w:sectPr>
      </w:pPr>
      <w:r w:rsidRPr="0064652A">
        <w:rPr>
          <w:sz w:val="20"/>
          <w:szCs w:val="20"/>
        </w:rPr>
        <w:t>21</w:t>
      </w:r>
    </w:p>
    <w:p w14:paraId="7FE3EBD1" w14:textId="77777777" w:rsidR="00C820B8" w:rsidRPr="0064652A" w:rsidRDefault="008D7FC6">
      <w:pPr>
        <w:jc w:val="right"/>
        <w:rPr>
          <w:sz w:val="20"/>
          <w:szCs w:val="20"/>
        </w:rPr>
      </w:pPr>
      <w:r w:rsidRPr="0064652A">
        <w:rPr>
          <w:b/>
          <w:bCs/>
          <w:sz w:val="20"/>
          <w:szCs w:val="20"/>
        </w:rPr>
        <w:lastRenderedPageBreak/>
        <w:t>Exhibit 31.1</w:t>
      </w:r>
    </w:p>
    <w:p w14:paraId="65DA9DF2" w14:textId="77777777" w:rsidR="00C820B8" w:rsidRPr="0064652A" w:rsidRDefault="008D7FC6">
      <w:pPr>
        <w:rPr>
          <w:sz w:val="20"/>
          <w:szCs w:val="20"/>
        </w:rPr>
      </w:pPr>
      <w:r w:rsidRPr="0064652A">
        <w:rPr>
          <w:sz w:val="20"/>
          <w:szCs w:val="20"/>
        </w:rPr>
        <w:t> </w:t>
      </w:r>
    </w:p>
    <w:p w14:paraId="0EEA31D9" w14:textId="77777777" w:rsidR="00C820B8" w:rsidRPr="0064652A" w:rsidRDefault="008D7FC6">
      <w:pPr>
        <w:jc w:val="center"/>
        <w:rPr>
          <w:sz w:val="20"/>
          <w:szCs w:val="20"/>
        </w:rPr>
      </w:pPr>
      <w:r w:rsidRPr="0064652A">
        <w:rPr>
          <w:b/>
          <w:bCs/>
          <w:sz w:val="20"/>
          <w:szCs w:val="20"/>
        </w:rPr>
        <w:t>Certification</w:t>
      </w:r>
    </w:p>
    <w:p w14:paraId="4986F8A5" w14:textId="77777777" w:rsidR="00C820B8" w:rsidRPr="0064652A" w:rsidRDefault="008D7FC6">
      <w:pPr>
        <w:rPr>
          <w:sz w:val="20"/>
          <w:szCs w:val="20"/>
        </w:rPr>
      </w:pPr>
      <w:r w:rsidRPr="0064652A">
        <w:rPr>
          <w:sz w:val="20"/>
          <w:szCs w:val="20"/>
        </w:rPr>
        <w:t> </w:t>
      </w:r>
    </w:p>
    <w:p w14:paraId="59FDAF3A" w14:textId="77777777" w:rsidR="00C820B8" w:rsidRPr="0064652A" w:rsidRDefault="008D7FC6">
      <w:pPr>
        <w:jc w:val="center"/>
        <w:rPr>
          <w:sz w:val="20"/>
          <w:szCs w:val="20"/>
        </w:rPr>
      </w:pPr>
      <w:r w:rsidRPr="0064652A">
        <w:rPr>
          <w:b/>
          <w:bCs/>
          <w:sz w:val="20"/>
          <w:szCs w:val="20"/>
        </w:rPr>
        <w:t>Pursuant to Section</w:t>
      </w:r>
      <w:r w:rsidRPr="0064652A">
        <w:rPr>
          <w:sz w:val="20"/>
          <w:szCs w:val="20"/>
        </w:rPr>
        <w:t> </w:t>
      </w:r>
      <w:r w:rsidRPr="0064652A">
        <w:rPr>
          <w:b/>
          <w:bCs/>
          <w:sz w:val="20"/>
          <w:szCs w:val="20"/>
        </w:rPr>
        <w:t xml:space="preserve">302 of the Sarbanes </w:t>
      </w:r>
      <w:r w:rsidRPr="0064652A">
        <w:rPr>
          <w:sz w:val="20"/>
          <w:szCs w:val="20"/>
        </w:rPr>
        <w:t>—</w:t>
      </w:r>
      <w:r w:rsidRPr="0064652A">
        <w:rPr>
          <w:b/>
          <w:bCs/>
          <w:sz w:val="20"/>
          <w:szCs w:val="20"/>
        </w:rPr>
        <w:t xml:space="preserve"> Oxley Act of 2002</w:t>
      </w:r>
    </w:p>
    <w:p w14:paraId="74382360" w14:textId="77777777" w:rsidR="00C820B8" w:rsidRPr="0064652A" w:rsidRDefault="008D7FC6">
      <w:pPr>
        <w:rPr>
          <w:sz w:val="20"/>
          <w:szCs w:val="20"/>
        </w:rPr>
      </w:pPr>
      <w:r w:rsidRPr="0064652A">
        <w:rPr>
          <w:sz w:val="20"/>
          <w:szCs w:val="20"/>
        </w:rPr>
        <w:t> </w:t>
      </w:r>
    </w:p>
    <w:p w14:paraId="28B21BE1" w14:textId="77777777" w:rsidR="00C820B8" w:rsidRPr="0064652A" w:rsidRDefault="008D7FC6">
      <w:pPr>
        <w:rPr>
          <w:sz w:val="20"/>
          <w:szCs w:val="20"/>
        </w:rPr>
      </w:pPr>
      <w:r w:rsidRPr="0064652A">
        <w:rPr>
          <w:sz w:val="20"/>
          <w:szCs w:val="20"/>
        </w:rPr>
        <w:t>I, Christopher W. Ho, certify that:</w:t>
      </w:r>
    </w:p>
    <w:p w14:paraId="53E43FE8"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360"/>
        <w:gridCol w:w="360"/>
        <w:gridCol w:w="10080"/>
      </w:tblGrid>
      <w:tr w:rsidR="00C820B8" w:rsidRPr="0064652A" w14:paraId="7336C696" w14:textId="77777777">
        <w:tc>
          <w:tcPr>
            <w:tcW w:w="360" w:type="dxa"/>
            <w:tcMar>
              <w:top w:w="5" w:type="dxa"/>
              <w:left w:w="5" w:type="dxa"/>
              <w:bottom w:w="5" w:type="dxa"/>
              <w:right w:w="5" w:type="dxa"/>
            </w:tcMar>
            <w:hideMark/>
          </w:tcPr>
          <w:p w14:paraId="767497D2" w14:textId="77777777" w:rsidR="00C820B8" w:rsidRPr="0064652A" w:rsidRDefault="008D7FC6">
            <w:pPr>
              <w:rPr>
                <w:color w:val="000000"/>
              </w:rPr>
            </w:pPr>
            <w:r w:rsidRPr="0064652A">
              <w:rPr>
                <w:color w:val="000000"/>
              </w:rPr>
              <w:t> </w:t>
            </w:r>
          </w:p>
        </w:tc>
        <w:tc>
          <w:tcPr>
            <w:tcW w:w="360" w:type="dxa"/>
            <w:tcMar>
              <w:top w:w="5" w:type="dxa"/>
              <w:left w:w="5" w:type="dxa"/>
              <w:bottom w:w="5" w:type="dxa"/>
              <w:right w:w="5" w:type="dxa"/>
            </w:tcMar>
            <w:hideMark/>
          </w:tcPr>
          <w:p w14:paraId="71F14CBF" w14:textId="77777777" w:rsidR="00C820B8" w:rsidRPr="0064652A" w:rsidRDefault="008D7FC6">
            <w:pPr>
              <w:rPr>
                <w:color w:val="000000"/>
                <w:sz w:val="20"/>
                <w:szCs w:val="20"/>
              </w:rPr>
            </w:pPr>
            <w:r w:rsidRPr="0064652A">
              <w:rPr>
                <w:color w:val="000000"/>
                <w:sz w:val="20"/>
                <w:szCs w:val="20"/>
              </w:rPr>
              <w:t>1.</w:t>
            </w:r>
          </w:p>
        </w:tc>
        <w:tc>
          <w:tcPr>
            <w:tcW w:w="0" w:type="auto"/>
            <w:tcMar>
              <w:top w:w="5" w:type="dxa"/>
              <w:left w:w="5" w:type="dxa"/>
              <w:bottom w:w="5" w:type="dxa"/>
              <w:right w:w="5" w:type="dxa"/>
            </w:tcMar>
            <w:hideMark/>
          </w:tcPr>
          <w:p w14:paraId="511A2629" w14:textId="77777777" w:rsidR="00C820B8" w:rsidRPr="0064652A" w:rsidRDefault="008D7FC6">
            <w:pPr>
              <w:rPr>
                <w:color w:val="000000"/>
                <w:sz w:val="20"/>
                <w:szCs w:val="20"/>
              </w:rPr>
            </w:pPr>
            <w:r w:rsidRPr="0064652A">
              <w:rPr>
                <w:color w:val="000000"/>
                <w:sz w:val="20"/>
                <w:szCs w:val="20"/>
              </w:rPr>
              <w:t>I have reviewed this Quarterly Report on Form 10-Q of Emerson Radio Corp.;</w:t>
            </w:r>
          </w:p>
        </w:tc>
      </w:tr>
    </w:tbl>
    <w:p w14:paraId="176D6494"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360"/>
        <w:gridCol w:w="360"/>
        <w:gridCol w:w="10080"/>
      </w:tblGrid>
      <w:tr w:rsidR="00C820B8" w:rsidRPr="0064652A" w14:paraId="787820B8" w14:textId="77777777">
        <w:tc>
          <w:tcPr>
            <w:tcW w:w="360" w:type="dxa"/>
            <w:tcMar>
              <w:top w:w="5" w:type="dxa"/>
              <w:left w:w="5" w:type="dxa"/>
              <w:bottom w:w="5" w:type="dxa"/>
              <w:right w:w="5" w:type="dxa"/>
            </w:tcMar>
            <w:hideMark/>
          </w:tcPr>
          <w:p w14:paraId="5AB82D73" w14:textId="77777777" w:rsidR="00C820B8" w:rsidRPr="0064652A" w:rsidRDefault="008D7FC6">
            <w:pPr>
              <w:rPr>
                <w:color w:val="000000"/>
              </w:rPr>
            </w:pPr>
            <w:r w:rsidRPr="0064652A">
              <w:rPr>
                <w:color w:val="000000"/>
              </w:rPr>
              <w:t> </w:t>
            </w:r>
          </w:p>
        </w:tc>
        <w:tc>
          <w:tcPr>
            <w:tcW w:w="360" w:type="dxa"/>
            <w:tcMar>
              <w:top w:w="5" w:type="dxa"/>
              <w:left w:w="5" w:type="dxa"/>
              <w:bottom w:w="5" w:type="dxa"/>
              <w:right w:w="5" w:type="dxa"/>
            </w:tcMar>
            <w:hideMark/>
          </w:tcPr>
          <w:p w14:paraId="66B46AA5" w14:textId="77777777" w:rsidR="00C820B8" w:rsidRPr="0064652A" w:rsidRDefault="008D7FC6">
            <w:pPr>
              <w:rPr>
                <w:color w:val="000000"/>
                <w:sz w:val="20"/>
                <w:szCs w:val="20"/>
              </w:rPr>
            </w:pPr>
            <w:r w:rsidRPr="0064652A">
              <w:rPr>
                <w:color w:val="000000"/>
                <w:sz w:val="20"/>
                <w:szCs w:val="20"/>
              </w:rPr>
              <w:t>2.</w:t>
            </w:r>
          </w:p>
        </w:tc>
        <w:tc>
          <w:tcPr>
            <w:tcW w:w="0" w:type="auto"/>
            <w:tcMar>
              <w:top w:w="5" w:type="dxa"/>
              <w:left w:w="5" w:type="dxa"/>
              <w:bottom w:w="5" w:type="dxa"/>
              <w:right w:w="5" w:type="dxa"/>
            </w:tcMar>
            <w:hideMark/>
          </w:tcPr>
          <w:p w14:paraId="326C1BED" w14:textId="77777777" w:rsidR="00C820B8" w:rsidRPr="0064652A" w:rsidRDefault="008D7FC6">
            <w:pPr>
              <w:rPr>
                <w:color w:val="000000"/>
                <w:sz w:val="20"/>
                <w:szCs w:val="20"/>
              </w:rPr>
            </w:pPr>
            <w:r w:rsidRPr="0064652A">
              <w:rPr>
                <w:color w:val="000000"/>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p w14:paraId="338C39F1"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360"/>
        <w:gridCol w:w="360"/>
        <w:gridCol w:w="10080"/>
      </w:tblGrid>
      <w:tr w:rsidR="00C820B8" w:rsidRPr="0064652A" w14:paraId="0AED85A6" w14:textId="77777777">
        <w:tc>
          <w:tcPr>
            <w:tcW w:w="360" w:type="dxa"/>
            <w:tcMar>
              <w:top w:w="5" w:type="dxa"/>
              <w:left w:w="5" w:type="dxa"/>
              <w:bottom w:w="5" w:type="dxa"/>
              <w:right w:w="5" w:type="dxa"/>
            </w:tcMar>
            <w:hideMark/>
          </w:tcPr>
          <w:p w14:paraId="25979936" w14:textId="77777777" w:rsidR="00C820B8" w:rsidRPr="0064652A" w:rsidRDefault="008D7FC6">
            <w:pPr>
              <w:rPr>
                <w:color w:val="000000"/>
              </w:rPr>
            </w:pPr>
            <w:r w:rsidRPr="0064652A">
              <w:rPr>
                <w:color w:val="000000"/>
              </w:rPr>
              <w:t> </w:t>
            </w:r>
          </w:p>
        </w:tc>
        <w:tc>
          <w:tcPr>
            <w:tcW w:w="360" w:type="dxa"/>
            <w:tcMar>
              <w:top w:w="5" w:type="dxa"/>
              <w:left w:w="5" w:type="dxa"/>
              <w:bottom w:w="5" w:type="dxa"/>
              <w:right w:w="5" w:type="dxa"/>
            </w:tcMar>
            <w:hideMark/>
          </w:tcPr>
          <w:p w14:paraId="43DD6B1C" w14:textId="77777777" w:rsidR="00C820B8" w:rsidRPr="0064652A" w:rsidRDefault="008D7FC6">
            <w:pPr>
              <w:rPr>
                <w:color w:val="000000"/>
                <w:sz w:val="20"/>
                <w:szCs w:val="20"/>
              </w:rPr>
            </w:pPr>
            <w:r w:rsidRPr="0064652A">
              <w:rPr>
                <w:color w:val="000000"/>
                <w:sz w:val="20"/>
                <w:szCs w:val="20"/>
              </w:rPr>
              <w:t>3.</w:t>
            </w:r>
          </w:p>
        </w:tc>
        <w:tc>
          <w:tcPr>
            <w:tcW w:w="0" w:type="auto"/>
            <w:tcMar>
              <w:top w:w="5" w:type="dxa"/>
              <w:left w:w="5" w:type="dxa"/>
              <w:bottom w:w="5" w:type="dxa"/>
              <w:right w:w="5" w:type="dxa"/>
            </w:tcMar>
            <w:hideMark/>
          </w:tcPr>
          <w:p w14:paraId="2062D762" w14:textId="77777777" w:rsidR="00C820B8" w:rsidRPr="0064652A" w:rsidRDefault="008D7FC6">
            <w:pPr>
              <w:rPr>
                <w:color w:val="000000"/>
                <w:sz w:val="20"/>
                <w:szCs w:val="20"/>
              </w:rPr>
            </w:pPr>
            <w:r w:rsidRPr="0064652A">
              <w:rPr>
                <w:color w:val="000000"/>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p w14:paraId="552CE9E0"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360"/>
        <w:gridCol w:w="360"/>
        <w:gridCol w:w="10080"/>
      </w:tblGrid>
      <w:tr w:rsidR="00C820B8" w:rsidRPr="0064652A" w14:paraId="39C0C312" w14:textId="77777777">
        <w:tc>
          <w:tcPr>
            <w:tcW w:w="360" w:type="dxa"/>
            <w:tcMar>
              <w:top w:w="5" w:type="dxa"/>
              <w:left w:w="5" w:type="dxa"/>
              <w:bottom w:w="5" w:type="dxa"/>
              <w:right w:w="5" w:type="dxa"/>
            </w:tcMar>
            <w:hideMark/>
          </w:tcPr>
          <w:p w14:paraId="37151589" w14:textId="77777777" w:rsidR="00C820B8" w:rsidRPr="0064652A" w:rsidRDefault="008D7FC6">
            <w:pPr>
              <w:rPr>
                <w:color w:val="000000"/>
              </w:rPr>
            </w:pPr>
            <w:r w:rsidRPr="0064652A">
              <w:rPr>
                <w:color w:val="000000"/>
              </w:rPr>
              <w:t> </w:t>
            </w:r>
          </w:p>
        </w:tc>
        <w:tc>
          <w:tcPr>
            <w:tcW w:w="360" w:type="dxa"/>
            <w:tcMar>
              <w:top w:w="5" w:type="dxa"/>
              <w:left w:w="5" w:type="dxa"/>
              <w:bottom w:w="5" w:type="dxa"/>
              <w:right w:w="5" w:type="dxa"/>
            </w:tcMar>
            <w:hideMark/>
          </w:tcPr>
          <w:p w14:paraId="3EE7F678" w14:textId="77777777" w:rsidR="00C820B8" w:rsidRPr="0064652A" w:rsidRDefault="008D7FC6">
            <w:pPr>
              <w:rPr>
                <w:color w:val="000000"/>
                <w:sz w:val="20"/>
                <w:szCs w:val="20"/>
              </w:rPr>
            </w:pPr>
            <w:r w:rsidRPr="0064652A">
              <w:rPr>
                <w:color w:val="000000"/>
                <w:sz w:val="20"/>
                <w:szCs w:val="20"/>
              </w:rPr>
              <w:t>4.</w:t>
            </w:r>
          </w:p>
        </w:tc>
        <w:tc>
          <w:tcPr>
            <w:tcW w:w="0" w:type="auto"/>
            <w:tcMar>
              <w:top w:w="5" w:type="dxa"/>
              <w:left w:w="5" w:type="dxa"/>
              <w:bottom w:w="5" w:type="dxa"/>
              <w:right w:w="5" w:type="dxa"/>
            </w:tcMar>
            <w:hideMark/>
          </w:tcPr>
          <w:p w14:paraId="63E7414B" w14:textId="77777777" w:rsidR="00C820B8" w:rsidRPr="0064652A" w:rsidRDefault="008D7FC6">
            <w:pPr>
              <w:rPr>
                <w:color w:val="000000"/>
                <w:sz w:val="20"/>
                <w:szCs w:val="20"/>
              </w:rPr>
            </w:pPr>
            <w:r w:rsidRPr="0064652A">
              <w:rPr>
                <w:color w:val="000000"/>
                <w:sz w:val="20"/>
                <w:szCs w:val="20"/>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p w14:paraId="330867CD" w14:textId="77777777" w:rsidR="00C820B8" w:rsidRPr="0064652A" w:rsidRDefault="008D7FC6">
      <w:pPr>
        <w:rPr>
          <w:sz w:val="20"/>
          <w:szCs w:val="20"/>
        </w:rPr>
      </w:pPr>
      <w:r w:rsidRPr="0064652A">
        <w:rPr>
          <w:sz w:val="20"/>
          <w:szCs w:val="20"/>
        </w:rPr>
        <w:t> </w:t>
      </w:r>
    </w:p>
    <w:p w14:paraId="6482EA47" w14:textId="77777777" w:rsidR="00C820B8" w:rsidRPr="0064652A" w:rsidRDefault="008D7FC6">
      <w:pPr>
        <w:ind w:left="1080"/>
        <w:rPr>
          <w:sz w:val="20"/>
          <w:szCs w:val="20"/>
        </w:rPr>
      </w:pPr>
      <w:r w:rsidRPr="0064652A">
        <w:rPr>
          <w:sz w:val="20"/>
          <w:szCs w:val="20"/>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14:paraId="0D629896" w14:textId="77777777" w:rsidR="00C820B8" w:rsidRPr="0064652A" w:rsidRDefault="008D7FC6">
      <w:pPr>
        <w:ind w:left="1080"/>
        <w:rPr>
          <w:sz w:val="20"/>
          <w:szCs w:val="20"/>
        </w:rPr>
      </w:pPr>
      <w:r w:rsidRPr="0064652A">
        <w:rPr>
          <w:sz w:val="20"/>
          <w:szCs w:val="20"/>
        </w:rPr>
        <w:t> </w:t>
      </w:r>
    </w:p>
    <w:p w14:paraId="1A847076" w14:textId="77777777" w:rsidR="00C820B8" w:rsidRPr="0064652A" w:rsidRDefault="008D7FC6">
      <w:pPr>
        <w:ind w:left="1080"/>
        <w:rPr>
          <w:sz w:val="20"/>
          <w:szCs w:val="20"/>
        </w:rPr>
      </w:pPr>
      <w:r w:rsidRPr="0064652A">
        <w:rPr>
          <w:sz w:val="20"/>
          <w:szCs w:val="20"/>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14:paraId="65DB1AA8" w14:textId="77777777" w:rsidR="00C820B8" w:rsidRPr="0064652A" w:rsidRDefault="008D7FC6">
      <w:pPr>
        <w:ind w:left="1080"/>
        <w:rPr>
          <w:sz w:val="20"/>
          <w:szCs w:val="20"/>
        </w:rPr>
      </w:pPr>
      <w:r w:rsidRPr="0064652A">
        <w:rPr>
          <w:sz w:val="20"/>
          <w:szCs w:val="20"/>
        </w:rPr>
        <w:t> </w:t>
      </w:r>
    </w:p>
    <w:p w14:paraId="219A9D4A" w14:textId="77777777" w:rsidR="00C820B8" w:rsidRPr="0064652A" w:rsidRDefault="008D7FC6">
      <w:pPr>
        <w:ind w:left="1080"/>
        <w:rPr>
          <w:sz w:val="20"/>
          <w:szCs w:val="20"/>
        </w:rPr>
      </w:pPr>
      <w:r w:rsidRPr="0064652A">
        <w:rPr>
          <w:sz w:val="20"/>
          <w:szCs w:val="20"/>
        </w:rPr>
        <w:t>c) 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14:paraId="4390D5D5" w14:textId="77777777" w:rsidR="00C820B8" w:rsidRPr="0064652A" w:rsidRDefault="008D7FC6">
      <w:pPr>
        <w:ind w:left="1080"/>
        <w:rPr>
          <w:sz w:val="20"/>
          <w:szCs w:val="20"/>
        </w:rPr>
      </w:pPr>
      <w:r w:rsidRPr="0064652A">
        <w:rPr>
          <w:sz w:val="20"/>
          <w:szCs w:val="20"/>
        </w:rPr>
        <w:t> </w:t>
      </w:r>
    </w:p>
    <w:p w14:paraId="26681DD4" w14:textId="77777777" w:rsidR="00C820B8" w:rsidRPr="0064652A" w:rsidRDefault="008D7FC6">
      <w:pPr>
        <w:ind w:left="1080"/>
        <w:rPr>
          <w:sz w:val="20"/>
          <w:szCs w:val="20"/>
        </w:rPr>
      </w:pPr>
      <w:r w:rsidRPr="0064652A">
        <w:rPr>
          <w:sz w:val="20"/>
          <w:szCs w:val="20"/>
        </w:rPr>
        <w:t>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14:paraId="034D1281"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360"/>
        <w:gridCol w:w="360"/>
        <w:gridCol w:w="10080"/>
      </w:tblGrid>
      <w:tr w:rsidR="00C820B8" w:rsidRPr="0064652A" w14:paraId="709DA99F" w14:textId="77777777">
        <w:tc>
          <w:tcPr>
            <w:tcW w:w="360" w:type="dxa"/>
            <w:tcMar>
              <w:top w:w="5" w:type="dxa"/>
              <w:left w:w="5" w:type="dxa"/>
              <w:bottom w:w="5" w:type="dxa"/>
              <w:right w:w="5" w:type="dxa"/>
            </w:tcMar>
            <w:hideMark/>
          </w:tcPr>
          <w:p w14:paraId="3ECB9317" w14:textId="77777777" w:rsidR="00C820B8" w:rsidRPr="0064652A" w:rsidRDefault="008D7FC6">
            <w:pPr>
              <w:rPr>
                <w:color w:val="000000"/>
              </w:rPr>
            </w:pPr>
            <w:r w:rsidRPr="0064652A">
              <w:rPr>
                <w:color w:val="000000"/>
              </w:rPr>
              <w:t> </w:t>
            </w:r>
          </w:p>
        </w:tc>
        <w:tc>
          <w:tcPr>
            <w:tcW w:w="360" w:type="dxa"/>
            <w:tcMar>
              <w:top w:w="5" w:type="dxa"/>
              <w:left w:w="5" w:type="dxa"/>
              <w:bottom w:w="5" w:type="dxa"/>
              <w:right w:w="5" w:type="dxa"/>
            </w:tcMar>
            <w:hideMark/>
          </w:tcPr>
          <w:p w14:paraId="22D6A3FD" w14:textId="77777777" w:rsidR="00C820B8" w:rsidRPr="0064652A" w:rsidRDefault="008D7FC6">
            <w:pPr>
              <w:rPr>
                <w:color w:val="000000"/>
                <w:sz w:val="20"/>
                <w:szCs w:val="20"/>
              </w:rPr>
            </w:pPr>
            <w:r w:rsidRPr="0064652A">
              <w:rPr>
                <w:color w:val="000000"/>
                <w:sz w:val="20"/>
                <w:szCs w:val="20"/>
              </w:rPr>
              <w:t>5.</w:t>
            </w:r>
          </w:p>
        </w:tc>
        <w:tc>
          <w:tcPr>
            <w:tcW w:w="0" w:type="auto"/>
            <w:tcMar>
              <w:top w:w="5" w:type="dxa"/>
              <w:left w:w="5" w:type="dxa"/>
              <w:bottom w:w="5" w:type="dxa"/>
              <w:right w:w="5" w:type="dxa"/>
            </w:tcMar>
            <w:hideMark/>
          </w:tcPr>
          <w:p w14:paraId="1F5DE818" w14:textId="77777777" w:rsidR="00C820B8" w:rsidRPr="0064652A" w:rsidRDefault="008D7FC6">
            <w:pPr>
              <w:rPr>
                <w:color w:val="000000"/>
                <w:sz w:val="20"/>
                <w:szCs w:val="20"/>
              </w:rPr>
            </w:pPr>
            <w:r w:rsidRPr="0064652A">
              <w:rPr>
                <w:color w:val="000000"/>
                <w:sz w:val="20"/>
                <w:szCs w:val="20"/>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p w14:paraId="6B812ED9" w14:textId="77777777" w:rsidR="00C820B8" w:rsidRPr="0064652A" w:rsidRDefault="008D7FC6">
      <w:pPr>
        <w:rPr>
          <w:sz w:val="20"/>
          <w:szCs w:val="20"/>
        </w:rPr>
      </w:pPr>
      <w:r w:rsidRPr="0064652A">
        <w:rPr>
          <w:sz w:val="20"/>
          <w:szCs w:val="20"/>
        </w:rPr>
        <w:t> </w:t>
      </w:r>
    </w:p>
    <w:p w14:paraId="55EF1EDC" w14:textId="77777777" w:rsidR="00C820B8" w:rsidRPr="0064652A" w:rsidRDefault="008D7FC6">
      <w:pPr>
        <w:ind w:left="1080"/>
        <w:rPr>
          <w:sz w:val="20"/>
          <w:szCs w:val="20"/>
        </w:rPr>
      </w:pPr>
      <w:r w:rsidRPr="0064652A">
        <w:rPr>
          <w:sz w:val="20"/>
          <w:szCs w:val="20"/>
        </w:rPr>
        <w:t>a) All significant deficiencies and material weaknesses in the design or operation of internal control over financial reporting which are reasonably likely to adversely affect the registrant’s ability to record, process, summarize and report financial information; and</w:t>
      </w:r>
    </w:p>
    <w:p w14:paraId="517FCAA4" w14:textId="77777777" w:rsidR="00C820B8" w:rsidRPr="0064652A" w:rsidRDefault="008D7FC6">
      <w:pPr>
        <w:rPr>
          <w:sz w:val="20"/>
          <w:szCs w:val="20"/>
        </w:rPr>
      </w:pPr>
      <w:r w:rsidRPr="0064652A">
        <w:rPr>
          <w:sz w:val="20"/>
          <w:szCs w:val="20"/>
        </w:rPr>
        <w:t> </w:t>
      </w:r>
    </w:p>
    <w:p w14:paraId="2E8DE4EC" w14:textId="77777777" w:rsidR="00C820B8" w:rsidRPr="0064652A" w:rsidRDefault="008D7FC6">
      <w:pPr>
        <w:ind w:left="1080"/>
        <w:rPr>
          <w:sz w:val="20"/>
          <w:szCs w:val="20"/>
        </w:rPr>
      </w:pPr>
      <w:r w:rsidRPr="0064652A">
        <w:rPr>
          <w:sz w:val="20"/>
          <w:szCs w:val="20"/>
        </w:rPr>
        <w:t>b) Any fraud, whether or not material, that involves management or other employees who have a significant role in the registrant’s internal control over financial reporting.</w:t>
      </w:r>
    </w:p>
    <w:p w14:paraId="1494086E" w14:textId="77777777" w:rsidR="00C820B8" w:rsidRPr="0064652A" w:rsidRDefault="008D7FC6">
      <w:pPr>
        <w:rPr>
          <w:sz w:val="20"/>
          <w:szCs w:val="20"/>
        </w:rPr>
      </w:pPr>
      <w:r w:rsidRPr="0064652A">
        <w:rPr>
          <w:sz w:val="20"/>
          <w:szCs w:val="20"/>
        </w:rPr>
        <w:t> </w:t>
      </w:r>
    </w:p>
    <w:tbl>
      <w:tblPr>
        <w:tblW w:w="5000" w:type="pct"/>
        <w:jc w:val="center"/>
        <w:tblCellMar>
          <w:left w:w="0" w:type="dxa"/>
          <w:right w:w="0" w:type="dxa"/>
        </w:tblCellMar>
        <w:tblLook w:val="04A0" w:firstRow="1" w:lastRow="0" w:firstColumn="1" w:lastColumn="0" w:noHBand="0" w:noVBand="1"/>
      </w:tblPr>
      <w:tblGrid>
        <w:gridCol w:w="6480"/>
        <w:gridCol w:w="4320"/>
      </w:tblGrid>
      <w:tr w:rsidR="00C820B8" w:rsidRPr="0064652A" w14:paraId="49C024F4" w14:textId="77777777">
        <w:trPr>
          <w:jc w:val="center"/>
        </w:trPr>
        <w:tc>
          <w:tcPr>
            <w:tcW w:w="3000" w:type="pct"/>
            <w:tcMar>
              <w:top w:w="5" w:type="dxa"/>
              <w:left w:w="5" w:type="dxa"/>
              <w:bottom w:w="5" w:type="dxa"/>
              <w:right w:w="5" w:type="dxa"/>
            </w:tcMar>
            <w:vAlign w:val="bottom"/>
            <w:hideMark/>
          </w:tcPr>
          <w:p w14:paraId="0E141D82" w14:textId="77777777" w:rsidR="00C820B8" w:rsidRPr="0064652A" w:rsidRDefault="008D7FC6">
            <w:pPr>
              <w:rPr>
                <w:color w:val="000000"/>
                <w:sz w:val="20"/>
                <w:szCs w:val="20"/>
              </w:rPr>
            </w:pPr>
            <w:r w:rsidRPr="0064652A">
              <w:rPr>
                <w:color w:val="000000"/>
                <w:sz w:val="20"/>
                <w:szCs w:val="20"/>
              </w:rPr>
              <w:t xml:space="preserve">Date: </w:t>
            </w:r>
            <w:bookmarkStart w:id="55" w:name="led288631F2022881662680631467"/>
            <w:r w:rsidRPr="0064652A">
              <w:rPr>
                <w:color w:val="000000"/>
                <w:sz w:val="20"/>
                <w:szCs w:val="20"/>
              </w:rPr>
              <w:t>February 20, 2024</w:t>
            </w:r>
            <w:bookmarkEnd w:id="55"/>
          </w:p>
        </w:tc>
        <w:tc>
          <w:tcPr>
            <w:tcW w:w="2000" w:type="pct"/>
            <w:tcBorders>
              <w:bottom w:val="single" w:sz="6" w:space="0" w:color="000000"/>
            </w:tcBorders>
            <w:tcMar>
              <w:top w:w="5" w:type="dxa"/>
              <w:left w:w="5" w:type="dxa"/>
              <w:bottom w:w="8" w:type="dxa"/>
              <w:right w:w="5" w:type="dxa"/>
            </w:tcMar>
            <w:vAlign w:val="bottom"/>
            <w:hideMark/>
          </w:tcPr>
          <w:p w14:paraId="34BCCAE3" w14:textId="77777777" w:rsidR="00C820B8" w:rsidRPr="0064652A" w:rsidRDefault="008D7FC6">
            <w:pPr>
              <w:rPr>
                <w:color w:val="000000"/>
                <w:sz w:val="20"/>
                <w:szCs w:val="20"/>
              </w:rPr>
            </w:pPr>
            <w:r w:rsidRPr="0064652A">
              <w:rPr>
                <w:color w:val="000000"/>
                <w:sz w:val="20"/>
                <w:szCs w:val="20"/>
              </w:rPr>
              <w:t>/s/ Christopher W. Ho</w:t>
            </w:r>
          </w:p>
        </w:tc>
      </w:tr>
      <w:tr w:rsidR="00C820B8" w:rsidRPr="0064652A" w14:paraId="6DA7131D" w14:textId="77777777">
        <w:trPr>
          <w:jc w:val="center"/>
        </w:trPr>
        <w:tc>
          <w:tcPr>
            <w:tcW w:w="3000" w:type="pct"/>
            <w:tcMar>
              <w:top w:w="5" w:type="dxa"/>
              <w:left w:w="5" w:type="dxa"/>
              <w:bottom w:w="5" w:type="dxa"/>
              <w:right w:w="5" w:type="dxa"/>
            </w:tcMar>
            <w:vAlign w:val="bottom"/>
            <w:hideMark/>
          </w:tcPr>
          <w:p w14:paraId="6B569136" w14:textId="77777777" w:rsidR="00C820B8" w:rsidRPr="0064652A" w:rsidRDefault="008D7FC6">
            <w:pPr>
              <w:rPr>
                <w:color w:val="000000"/>
                <w:sz w:val="20"/>
                <w:szCs w:val="20"/>
              </w:rPr>
            </w:pPr>
            <w:r w:rsidRPr="0064652A">
              <w:rPr>
                <w:color w:val="000000"/>
                <w:sz w:val="20"/>
                <w:szCs w:val="20"/>
              </w:rPr>
              <w:t> </w:t>
            </w:r>
          </w:p>
        </w:tc>
        <w:tc>
          <w:tcPr>
            <w:tcW w:w="2000" w:type="pct"/>
            <w:tcMar>
              <w:top w:w="5" w:type="dxa"/>
              <w:left w:w="5" w:type="dxa"/>
              <w:bottom w:w="5" w:type="dxa"/>
              <w:right w:w="5" w:type="dxa"/>
            </w:tcMar>
            <w:vAlign w:val="bottom"/>
            <w:hideMark/>
          </w:tcPr>
          <w:p w14:paraId="730DA605" w14:textId="77777777" w:rsidR="00C820B8" w:rsidRPr="0064652A" w:rsidRDefault="008D7FC6">
            <w:pPr>
              <w:rPr>
                <w:color w:val="000000"/>
                <w:sz w:val="20"/>
                <w:szCs w:val="20"/>
              </w:rPr>
            </w:pPr>
            <w:r w:rsidRPr="0064652A">
              <w:rPr>
                <w:color w:val="000000"/>
                <w:sz w:val="20"/>
                <w:szCs w:val="20"/>
              </w:rPr>
              <w:t>Christopher W. Ho</w:t>
            </w:r>
          </w:p>
        </w:tc>
      </w:tr>
      <w:tr w:rsidR="00C820B8" w:rsidRPr="0064652A" w14:paraId="16120140" w14:textId="77777777">
        <w:trPr>
          <w:jc w:val="center"/>
        </w:trPr>
        <w:tc>
          <w:tcPr>
            <w:tcW w:w="3000" w:type="pct"/>
            <w:tcMar>
              <w:top w:w="5" w:type="dxa"/>
              <w:left w:w="5" w:type="dxa"/>
              <w:bottom w:w="5" w:type="dxa"/>
              <w:right w:w="5" w:type="dxa"/>
            </w:tcMar>
            <w:vAlign w:val="bottom"/>
            <w:hideMark/>
          </w:tcPr>
          <w:p w14:paraId="3D951EC5" w14:textId="77777777" w:rsidR="00C820B8" w:rsidRPr="0064652A" w:rsidRDefault="008D7FC6">
            <w:pPr>
              <w:rPr>
                <w:color w:val="000000"/>
                <w:sz w:val="20"/>
                <w:szCs w:val="20"/>
              </w:rPr>
            </w:pPr>
            <w:r w:rsidRPr="0064652A">
              <w:rPr>
                <w:color w:val="000000"/>
                <w:sz w:val="20"/>
                <w:szCs w:val="20"/>
              </w:rPr>
              <w:t> </w:t>
            </w:r>
          </w:p>
        </w:tc>
        <w:tc>
          <w:tcPr>
            <w:tcW w:w="2000" w:type="pct"/>
            <w:tcMar>
              <w:top w:w="5" w:type="dxa"/>
              <w:left w:w="5" w:type="dxa"/>
              <w:bottom w:w="5" w:type="dxa"/>
              <w:right w:w="5" w:type="dxa"/>
            </w:tcMar>
            <w:vAlign w:val="bottom"/>
            <w:hideMark/>
          </w:tcPr>
          <w:p w14:paraId="1CCA4050" w14:textId="77777777" w:rsidR="00C820B8" w:rsidRPr="0064652A" w:rsidRDefault="008D7FC6">
            <w:pPr>
              <w:rPr>
                <w:color w:val="000000"/>
                <w:sz w:val="20"/>
                <w:szCs w:val="20"/>
              </w:rPr>
            </w:pPr>
            <w:r w:rsidRPr="0064652A">
              <w:rPr>
                <w:color w:val="000000"/>
                <w:sz w:val="20"/>
                <w:szCs w:val="20"/>
              </w:rPr>
              <w:t>Chief Executive Officer</w:t>
            </w:r>
          </w:p>
        </w:tc>
      </w:tr>
    </w:tbl>
    <w:p w14:paraId="4BC6B2F7" w14:textId="77777777" w:rsidR="00C820B8" w:rsidRPr="0064652A" w:rsidRDefault="008D7FC6">
      <w:pPr>
        <w:rPr>
          <w:sz w:val="20"/>
          <w:szCs w:val="20"/>
        </w:rPr>
      </w:pPr>
      <w:r w:rsidRPr="0064652A">
        <w:rPr>
          <w:sz w:val="20"/>
          <w:szCs w:val="20"/>
        </w:rPr>
        <w:t> </w:t>
      </w:r>
    </w:p>
    <w:p w14:paraId="20CC88D8" w14:textId="77777777" w:rsidR="00C820B8" w:rsidRPr="0064652A" w:rsidRDefault="008D7FC6">
      <w:pPr>
        <w:rPr>
          <w:sz w:val="20"/>
          <w:szCs w:val="20"/>
        </w:rPr>
      </w:pPr>
      <w:r w:rsidRPr="0064652A">
        <w:rPr>
          <w:sz w:val="20"/>
          <w:szCs w:val="20"/>
        </w:rPr>
        <w:t> </w:t>
      </w:r>
    </w:p>
    <w:p w14:paraId="61AA9B83" w14:textId="77777777" w:rsidR="00C820B8" w:rsidRPr="0064652A" w:rsidRDefault="008D7FC6">
      <w:pPr>
        <w:rPr>
          <w:sz w:val="20"/>
          <w:szCs w:val="20"/>
        </w:rPr>
      </w:pPr>
      <w:r w:rsidRPr="0064652A">
        <w:rPr>
          <w:sz w:val="20"/>
          <w:szCs w:val="20"/>
        </w:rPr>
        <w:t>A signed original of this written statement required by Section 302 has been provided to Emerson Radio Corp. and will be retained by Emerson Radio Corp. and furnished to the Securities and Exchange Commission or its staff upon request.</w:t>
      </w:r>
    </w:p>
    <w:p w14:paraId="691CD0A5" w14:textId="77777777" w:rsidR="00C820B8" w:rsidRPr="0064652A" w:rsidRDefault="008D7FC6">
      <w:pPr>
        <w:jc w:val="right"/>
        <w:rPr>
          <w:sz w:val="20"/>
          <w:szCs w:val="20"/>
        </w:rPr>
      </w:pPr>
      <w:r w:rsidRPr="0064652A">
        <w:rPr>
          <w:sz w:val="20"/>
          <w:szCs w:val="20"/>
        </w:rPr>
        <w:t> </w:t>
      </w:r>
    </w:p>
    <w:p w14:paraId="117D44E7" w14:textId="77777777" w:rsidR="00C820B8" w:rsidRPr="0064652A" w:rsidRDefault="008D7FC6">
      <w:pPr>
        <w:sectPr w:rsidR="00C820B8" w:rsidRPr="0064652A" w:rsidSect="002C1B0F">
          <w:pgSz w:w="12240" w:h="15840"/>
          <w:pgMar w:top="576" w:right="720" w:bottom="576" w:left="720" w:header="144" w:footer="432" w:gutter="0"/>
          <w:cols w:space="720"/>
        </w:sectPr>
      </w:pPr>
      <w:r w:rsidRPr="0064652A">
        <w:t> </w:t>
      </w:r>
    </w:p>
    <w:p w14:paraId="0DC9082B" w14:textId="77777777" w:rsidR="00C820B8" w:rsidRPr="0064652A" w:rsidRDefault="008D7FC6">
      <w:pPr>
        <w:jc w:val="right"/>
        <w:rPr>
          <w:sz w:val="20"/>
          <w:szCs w:val="20"/>
        </w:rPr>
      </w:pPr>
      <w:r w:rsidRPr="0064652A">
        <w:rPr>
          <w:b/>
          <w:bCs/>
          <w:sz w:val="20"/>
          <w:szCs w:val="20"/>
        </w:rPr>
        <w:lastRenderedPageBreak/>
        <w:t>Exhibit 31.2</w:t>
      </w:r>
    </w:p>
    <w:p w14:paraId="744B2093" w14:textId="77777777" w:rsidR="00C820B8" w:rsidRPr="0064652A" w:rsidRDefault="008D7FC6">
      <w:pPr>
        <w:rPr>
          <w:sz w:val="20"/>
          <w:szCs w:val="20"/>
        </w:rPr>
      </w:pPr>
      <w:r w:rsidRPr="0064652A">
        <w:rPr>
          <w:sz w:val="20"/>
          <w:szCs w:val="20"/>
        </w:rPr>
        <w:t> </w:t>
      </w:r>
    </w:p>
    <w:p w14:paraId="012DA822" w14:textId="77777777" w:rsidR="00C820B8" w:rsidRPr="0064652A" w:rsidRDefault="008D7FC6">
      <w:pPr>
        <w:jc w:val="center"/>
        <w:rPr>
          <w:sz w:val="20"/>
          <w:szCs w:val="20"/>
        </w:rPr>
      </w:pPr>
      <w:r w:rsidRPr="0064652A">
        <w:rPr>
          <w:b/>
          <w:bCs/>
          <w:sz w:val="20"/>
          <w:szCs w:val="20"/>
        </w:rPr>
        <w:t>Certification</w:t>
      </w:r>
    </w:p>
    <w:p w14:paraId="4F97D639" w14:textId="77777777" w:rsidR="00C820B8" w:rsidRPr="0064652A" w:rsidRDefault="008D7FC6">
      <w:pPr>
        <w:rPr>
          <w:sz w:val="20"/>
          <w:szCs w:val="20"/>
        </w:rPr>
      </w:pPr>
      <w:r w:rsidRPr="0064652A">
        <w:rPr>
          <w:sz w:val="20"/>
          <w:szCs w:val="20"/>
        </w:rPr>
        <w:t> </w:t>
      </w:r>
    </w:p>
    <w:p w14:paraId="0F02398E" w14:textId="77777777" w:rsidR="00C820B8" w:rsidRPr="0064652A" w:rsidRDefault="008D7FC6">
      <w:pPr>
        <w:jc w:val="center"/>
        <w:rPr>
          <w:sz w:val="20"/>
          <w:szCs w:val="20"/>
        </w:rPr>
      </w:pPr>
      <w:r w:rsidRPr="0064652A">
        <w:rPr>
          <w:b/>
          <w:bCs/>
          <w:sz w:val="20"/>
          <w:szCs w:val="20"/>
        </w:rPr>
        <w:t>Pursuant to Section</w:t>
      </w:r>
      <w:r w:rsidRPr="0064652A">
        <w:rPr>
          <w:sz w:val="20"/>
          <w:szCs w:val="20"/>
        </w:rPr>
        <w:t> </w:t>
      </w:r>
      <w:r w:rsidRPr="0064652A">
        <w:rPr>
          <w:b/>
          <w:bCs/>
          <w:sz w:val="20"/>
          <w:szCs w:val="20"/>
        </w:rPr>
        <w:t xml:space="preserve">302 of the Sarbanes </w:t>
      </w:r>
      <w:r w:rsidRPr="0064652A">
        <w:rPr>
          <w:sz w:val="20"/>
          <w:szCs w:val="20"/>
        </w:rPr>
        <w:t>—</w:t>
      </w:r>
      <w:r w:rsidRPr="0064652A">
        <w:rPr>
          <w:b/>
          <w:bCs/>
          <w:sz w:val="20"/>
          <w:szCs w:val="20"/>
        </w:rPr>
        <w:t xml:space="preserve"> Oxley Act of 2002</w:t>
      </w:r>
    </w:p>
    <w:p w14:paraId="6366AA4A" w14:textId="77777777" w:rsidR="00C820B8" w:rsidRPr="0064652A" w:rsidRDefault="008D7FC6">
      <w:pPr>
        <w:rPr>
          <w:sz w:val="20"/>
          <w:szCs w:val="20"/>
        </w:rPr>
      </w:pPr>
      <w:r w:rsidRPr="0064652A">
        <w:rPr>
          <w:sz w:val="20"/>
          <w:szCs w:val="20"/>
        </w:rPr>
        <w:t> </w:t>
      </w:r>
    </w:p>
    <w:p w14:paraId="749FD171" w14:textId="77777777" w:rsidR="00C820B8" w:rsidRPr="0064652A" w:rsidRDefault="008D7FC6">
      <w:pPr>
        <w:rPr>
          <w:sz w:val="20"/>
          <w:szCs w:val="20"/>
        </w:rPr>
      </w:pPr>
      <w:r w:rsidRPr="0064652A">
        <w:rPr>
          <w:sz w:val="20"/>
          <w:szCs w:val="20"/>
        </w:rPr>
        <w:t>I, Richard Li, certify that:</w:t>
      </w:r>
    </w:p>
    <w:p w14:paraId="3232BFDB"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360"/>
        <w:gridCol w:w="360"/>
        <w:gridCol w:w="10080"/>
      </w:tblGrid>
      <w:tr w:rsidR="00C820B8" w:rsidRPr="0064652A" w14:paraId="02F96DEB" w14:textId="77777777">
        <w:tc>
          <w:tcPr>
            <w:tcW w:w="360" w:type="dxa"/>
            <w:tcMar>
              <w:top w:w="5" w:type="dxa"/>
              <w:left w:w="5" w:type="dxa"/>
              <w:bottom w:w="5" w:type="dxa"/>
              <w:right w:w="5" w:type="dxa"/>
            </w:tcMar>
            <w:hideMark/>
          </w:tcPr>
          <w:p w14:paraId="5FF70C4C" w14:textId="77777777" w:rsidR="00C820B8" w:rsidRPr="0064652A" w:rsidRDefault="008D7FC6">
            <w:pPr>
              <w:rPr>
                <w:color w:val="000000"/>
              </w:rPr>
            </w:pPr>
            <w:r w:rsidRPr="0064652A">
              <w:rPr>
                <w:color w:val="000000"/>
              </w:rPr>
              <w:t> </w:t>
            </w:r>
          </w:p>
        </w:tc>
        <w:tc>
          <w:tcPr>
            <w:tcW w:w="360" w:type="dxa"/>
            <w:tcMar>
              <w:top w:w="5" w:type="dxa"/>
              <w:left w:w="5" w:type="dxa"/>
              <w:bottom w:w="5" w:type="dxa"/>
              <w:right w:w="5" w:type="dxa"/>
            </w:tcMar>
            <w:hideMark/>
          </w:tcPr>
          <w:p w14:paraId="239FB45A" w14:textId="77777777" w:rsidR="00C820B8" w:rsidRPr="0064652A" w:rsidRDefault="008D7FC6">
            <w:pPr>
              <w:rPr>
                <w:color w:val="000000"/>
                <w:sz w:val="20"/>
                <w:szCs w:val="20"/>
              </w:rPr>
            </w:pPr>
            <w:r w:rsidRPr="0064652A">
              <w:rPr>
                <w:color w:val="000000"/>
                <w:sz w:val="20"/>
                <w:szCs w:val="20"/>
              </w:rPr>
              <w:t>1.</w:t>
            </w:r>
          </w:p>
        </w:tc>
        <w:tc>
          <w:tcPr>
            <w:tcW w:w="0" w:type="auto"/>
            <w:tcMar>
              <w:top w:w="5" w:type="dxa"/>
              <w:left w:w="5" w:type="dxa"/>
              <w:bottom w:w="5" w:type="dxa"/>
              <w:right w:w="5" w:type="dxa"/>
            </w:tcMar>
            <w:hideMark/>
          </w:tcPr>
          <w:p w14:paraId="40D69405" w14:textId="77777777" w:rsidR="00C820B8" w:rsidRPr="0064652A" w:rsidRDefault="008D7FC6">
            <w:pPr>
              <w:rPr>
                <w:color w:val="000000"/>
                <w:sz w:val="20"/>
                <w:szCs w:val="20"/>
              </w:rPr>
            </w:pPr>
            <w:r w:rsidRPr="0064652A">
              <w:rPr>
                <w:color w:val="000000"/>
                <w:sz w:val="20"/>
                <w:szCs w:val="20"/>
              </w:rPr>
              <w:t>I have reviewed this Quarterly Report on Form 10-Q of Emerson Radio Corp.;</w:t>
            </w:r>
          </w:p>
        </w:tc>
      </w:tr>
    </w:tbl>
    <w:p w14:paraId="35FA8BA4"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360"/>
        <w:gridCol w:w="360"/>
        <w:gridCol w:w="10080"/>
      </w:tblGrid>
      <w:tr w:rsidR="00C820B8" w:rsidRPr="0064652A" w14:paraId="2C4EBCAB" w14:textId="77777777">
        <w:tc>
          <w:tcPr>
            <w:tcW w:w="360" w:type="dxa"/>
            <w:tcMar>
              <w:top w:w="5" w:type="dxa"/>
              <w:left w:w="5" w:type="dxa"/>
              <w:bottom w:w="5" w:type="dxa"/>
              <w:right w:w="5" w:type="dxa"/>
            </w:tcMar>
            <w:hideMark/>
          </w:tcPr>
          <w:p w14:paraId="67CBE00E" w14:textId="77777777" w:rsidR="00C820B8" w:rsidRPr="0064652A" w:rsidRDefault="008D7FC6">
            <w:pPr>
              <w:rPr>
                <w:color w:val="000000"/>
              </w:rPr>
            </w:pPr>
            <w:r w:rsidRPr="0064652A">
              <w:rPr>
                <w:color w:val="000000"/>
              </w:rPr>
              <w:t> </w:t>
            </w:r>
          </w:p>
        </w:tc>
        <w:tc>
          <w:tcPr>
            <w:tcW w:w="360" w:type="dxa"/>
            <w:tcMar>
              <w:top w:w="5" w:type="dxa"/>
              <w:left w:w="5" w:type="dxa"/>
              <w:bottom w:w="5" w:type="dxa"/>
              <w:right w:w="5" w:type="dxa"/>
            </w:tcMar>
            <w:hideMark/>
          </w:tcPr>
          <w:p w14:paraId="135F62E3" w14:textId="77777777" w:rsidR="00C820B8" w:rsidRPr="0064652A" w:rsidRDefault="008D7FC6">
            <w:pPr>
              <w:rPr>
                <w:color w:val="000000"/>
                <w:sz w:val="20"/>
                <w:szCs w:val="20"/>
              </w:rPr>
            </w:pPr>
            <w:r w:rsidRPr="0064652A">
              <w:rPr>
                <w:color w:val="000000"/>
                <w:sz w:val="20"/>
                <w:szCs w:val="20"/>
              </w:rPr>
              <w:t>2.</w:t>
            </w:r>
          </w:p>
        </w:tc>
        <w:tc>
          <w:tcPr>
            <w:tcW w:w="0" w:type="auto"/>
            <w:tcMar>
              <w:top w:w="5" w:type="dxa"/>
              <w:left w:w="5" w:type="dxa"/>
              <w:bottom w:w="5" w:type="dxa"/>
              <w:right w:w="5" w:type="dxa"/>
            </w:tcMar>
            <w:hideMark/>
          </w:tcPr>
          <w:p w14:paraId="4D616439" w14:textId="77777777" w:rsidR="00C820B8" w:rsidRPr="0064652A" w:rsidRDefault="008D7FC6">
            <w:pPr>
              <w:rPr>
                <w:color w:val="000000"/>
                <w:sz w:val="20"/>
                <w:szCs w:val="20"/>
              </w:rPr>
            </w:pPr>
            <w:r w:rsidRPr="0064652A">
              <w:rPr>
                <w:color w:val="000000"/>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p w14:paraId="63A8BD6B"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360"/>
        <w:gridCol w:w="360"/>
        <w:gridCol w:w="10080"/>
      </w:tblGrid>
      <w:tr w:rsidR="00C820B8" w:rsidRPr="0064652A" w14:paraId="3AE3FE78" w14:textId="77777777">
        <w:tc>
          <w:tcPr>
            <w:tcW w:w="360" w:type="dxa"/>
            <w:tcMar>
              <w:top w:w="5" w:type="dxa"/>
              <w:left w:w="5" w:type="dxa"/>
              <w:bottom w:w="5" w:type="dxa"/>
              <w:right w:w="5" w:type="dxa"/>
            </w:tcMar>
            <w:hideMark/>
          </w:tcPr>
          <w:p w14:paraId="5B778EC8" w14:textId="77777777" w:rsidR="00C820B8" w:rsidRPr="0064652A" w:rsidRDefault="008D7FC6">
            <w:pPr>
              <w:rPr>
                <w:color w:val="000000"/>
              </w:rPr>
            </w:pPr>
            <w:r w:rsidRPr="0064652A">
              <w:rPr>
                <w:color w:val="000000"/>
              </w:rPr>
              <w:t> </w:t>
            </w:r>
          </w:p>
        </w:tc>
        <w:tc>
          <w:tcPr>
            <w:tcW w:w="360" w:type="dxa"/>
            <w:tcMar>
              <w:top w:w="5" w:type="dxa"/>
              <w:left w:w="5" w:type="dxa"/>
              <w:bottom w:w="5" w:type="dxa"/>
              <w:right w:w="5" w:type="dxa"/>
            </w:tcMar>
            <w:hideMark/>
          </w:tcPr>
          <w:p w14:paraId="14AD717D" w14:textId="77777777" w:rsidR="00C820B8" w:rsidRPr="0064652A" w:rsidRDefault="008D7FC6">
            <w:pPr>
              <w:rPr>
                <w:color w:val="000000"/>
                <w:sz w:val="20"/>
                <w:szCs w:val="20"/>
              </w:rPr>
            </w:pPr>
            <w:r w:rsidRPr="0064652A">
              <w:rPr>
                <w:color w:val="000000"/>
                <w:sz w:val="20"/>
                <w:szCs w:val="20"/>
              </w:rPr>
              <w:t>3.</w:t>
            </w:r>
          </w:p>
        </w:tc>
        <w:tc>
          <w:tcPr>
            <w:tcW w:w="0" w:type="auto"/>
            <w:tcMar>
              <w:top w:w="5" w:type="dxa"/>
              <w:left w:w="5" w:type="dxa"/>
              <w:bottom w:w="5" w:type="dxa"/>
              <w:right w:w="5" w:type="dxa"/>
            </w:tcMar>
            <w:hideMark/>
          </w:tcPr>
          <w:p w14:paraId="5CE7924A" w14:textId="77777777" w:rsidR="00C820B8" w:rsidRPr="0064652A" w:rsidRDefault="008D7FC6">
            <w:pPr>
              <w:rPr>
                <w:color w:val="000000"/>
                <w:sz w:val="20"/>
                <w:szCs w:val="20"/>
              </w:rPr>
            </w:pPr>
            <w:r w:rsidRPr="0064652A">
              <w:rPr>
                <w:color w:val="000000"/>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p w14:paraId="57A61669"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360"/>
        <w:gridCol w:w="360"/>
        <w:gridCol w:w="10080"/>
      </w:tblGrid>
      <w:tr w:rsidR="00C820B8" w:rsidRPr="0064652A" w14:paraId="5541FF98" w14:textId="77777777">
        <w:tc>
          <w:tcPr>
            <w:tcW w:w="360" w:type="dxa"/>
            <w:tcMar>
              <w:top w:w="5" w:type="dxa"/>
              <w:left w:w="5" w:type="dxa"/>
              <w:bottom w:w="5" w:type="dxa"/>
              <w:right w:w="5" w:type="dxa"/>
            </w:tcMar>
            <w:hideMark/>
          </w:tcPr>
          <w:p w14:paraId="19B6ABAA" w14:textId="77777777" w:rsidR="00C820B8" w:rsidRPr="0064652A" w:rsidRDefault="008D7FC6">
            <w:pPr>
              <w:rPr>
                <w:color w:val="000000"/>
              </w:rPr>
            </w:pPr>
            <w:r w:rsidRPr="0064652A">
              <w:rPr>
                <w:color w:val="000000"/>
              </w:rPr>
              <w:t> </w:t>
            </w:r>
          </w:p>
        </w:tc>
        <w:tc>
          <w:tcPr>
            <w:tcW w:w="360" w:type="dxa"/>
            <w:tcMar>
              <w:top w:w="5" w:type="dxa"/>
              <w:left w:w="5" w:type="dxa"/>
              <w:bottom w:w="5" w:type="dxa"/>
              <w:right w:w="5" w:type="dxa"/>
            </w:tcMar>
            <w:hideMark/>
          </w:tcPr>
          <w:p w14:paraId="0FE4535B" w14:textId="77777777" w:rsidR="00C820B8" w:rsidRPr="0064652A" w:rsidRDefault="008D7FC6">
            <w:pPr>
              <w:rPr>
                <w:color w:val="000000"/>
                <w:sz w:val="20"/>
                <w:szCs w:val="20"/>
              </w:rPr>
            </w:pPr>
            <w:r w:rsidRPr="0064652A">
              <w:rPr>
                <w:color w:val="000000"/>
                <w:sz w:val="20"/>
                <w:szCs w:val="20"/>
              </w:rPr>
              <w:t>4.</w:t>
            </w:r>
          </w:p>
        </w:tc>
        <w:tc>
          <w:tcPr>
            <w:tcW w:w="0" w:type="auto"/>
            <w:tcMar>
              <w:top w:w="5" w:type="dxa"/>
              <w:left w:w="5" w:type="dxa"/>
              <w:bottom w:w="5" w:type="dxa"/>
              <w:right w:w="5" w:type="dxa"/>
            </w:tcMar>
            <w:hideMark/>
          </w:tcPr>
          <w:p w14:paraId="455E7F2F" w14:textId="77777777" w:rsidR="00C820B8" w:rsidRPr="0064652A" w:rsidRDefault="008D7FC6">
            <w:pPr>
              <w:rPr>
                <w:color w:val="000000"/>
                <w:sz w:val="20"/>
                <w:szCs w:val="20"/>
              </w:rPr>
            </w:pPr>
            <w:r w:rsidRPr="0064652A">
              <w:rPr>
                <w:color w:val="000000"/>
                <w:sz w:val="20"/>
                <w:szCs w:val="20"/>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p w14:paraId="5FF75C08" w14:textId="77777777" w:rsidR="00C820B8" w:rsidRPr="0064652A" w:rsidRDefault="008D7FC6">
      <w:pPr>
        <w:rPr>
          <w:sz w:val="20"/>
          <w:szCs w:val="20"/>
        </w:rPr>
      </w:pPr>
      <w:r w:rsidRPr="0064652A">
        <w:rPr>
          <w:sz w:val="20"/>
          <w:szCs w:val="20"/>
        </w:rPr>
        <w:t> </w:t>
      </w:r>
    </w:p>
    <w:p w14:paraId="2F929BBD" w14:textId="77777777" w:rsidR="00C820B8" w:rsidRPr="0064652A" w:rsidRDefault="008D7FC6">
      <w:pPr>
        <w:ind w:left="1080"/>
        <w:rPr>
          <w:sz w:val="20"/>
          <w:szCs w:val="20"/>
        </w:rPr>
      </w:pPr>
      <w:r w:rsidRPr="0064652A">
        <w:rPr>
          <w:sz w:val="20"/>
          <w:szCs w:val="20"/>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14:paraId="266D6CAA" w14:textId="77777777" w:rsidR="00C820B8" w:rsidRPr="0064652A" w:rsidRDefault="008D7FC6">
      <w:pPr>
        <w:rPr>
          <w:sz w:val="20"/>
          <w:szCs w:val="20"/>
        </w:rPr>
      </w:pPr>
      <w:r w:rsidRPr="0064652A">
        <w:rPr>
          <w:sz w:val="20"/>
          <w:szCs w:val="20"/>
        </w:rPr>
        <w:t> </w:t>
      </w:r>
    </w:p>
    <w:p w14:paraId="4EEE88C7" w14:textId="77777777" w:rsidR="00C820B8" w:rsidRPr="0064652A" w:rsidRDefault="008D7FC6">
      <w:pPr>
        <w:ind w:left="1080"/>
        <w:rPr>
          <w:sz w:val="20"/>
          <w:szCs w:val="20"/>
        </w:rPr>
      </w:pPr>
      <w:r w:rsidRPr="0064652A">
        <w:rPr>
          <w:sz w:val="20"/>
          <w:szCs w:val="20"/>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14:paraId="30021E06" w14:textId="77777777" w:rsidR="00C820B8" w:rsidRPr="0064652A" w:rsidRDefault="008D7FC6">
      <w:pPr>
        <w:rPr>
          <w:sz w:val="20"/>
          <w:szCs w:val="20"/>
        </w:rPr>
      </w:pPr>
      <w:r w:rsidRPr="0064652A">
        <w:rPr>
          <w:sz w:val="20"/>
          <w:szCs w:val="20"/>
        </w:rPr>
        <w:t> </w:t>
      </w:r>
    </w:p>
    <w:p w14:paraId="5C469CF3" w14:textId="77777777" w:rsidR="00C820B8" w:rsidRPr="0064652A" w:rsidRDefault="008D7FC6">
      <w:pPr>
        <w:ind w:left="1080"/>
        <w:rPr>
          <w:sz w:val="20"/>
          <w:szCs w:val="20"/>
        </w:rPr>
      </w:pPr>
      <w:r w:rsidRPr="0064652A">
        <w:rPr>
          <w:sz w:val="20"/>
          <w:szCs w:val="20"/>
        </w:rPr>
        <w:t>c) 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14:paraId="1C000F24" w14:textId="77777777" w:rsidR="00C820B8" w:rsidRPr="0064652A" w:rsidRDefault="008D7FC6">
      <w:pPr>
        <w:ind w:left="1080"/>
        <w:rPr>
          <w:sz w:val="20"/>
          <w:szCs w:val="20"/>
        </w:rPr>
      </w:pPr>
      <w:r w:rsidRPr="0064652A">
        <w:rPr>
          <w:sz w:val="20"/>
          <w:szCs w:val="20"/>
        </w:rPr>
        <w:t> </w:t>
      </w:r>
    </w:p>
    <w:p w14:paraId="49518B07" w14:textId="77777777" w:rsidR="00C820B8" w:rsidRPr="0064652A" w:rsidRDefault="008D7FC6">
      <w:pPr>
        <w:ind w:left="1080"/>
        <w:rPr>
          <w:sz w:val="20"/>
          <w:szCs w:val="20"/>
        </w:rPr>
      </w:pPr>
      <w:r w:rsidRPr="0064652A">
        <w:rPr>
          <w:sz w:val="20"/>
          <w:szCs w:val="20"/>
        </w:rPr>
        <w:t>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14:paraId="584F7929" w14:textId="77777777" w:rsidR="00C820B8" w:rsidRPr="0064652A" w:rsidRDefault="008D7FC6">
      <w:pPr>
        <w:rPr>
          <w:sz w:val="20"/>
          <w:szCs w:val="20"/>
        </w:rPr>
      </w:pPr>
      <w:r w:rsidRPr="0064652A">
        <w:rPr>
          <w:sz w:val="20"/>
          <w:szCs w:val="20"/>
        </w:rPr>
        <w:t> </w:t>
      </w:r>
    </w:p>
    <w:tbl>
      <w:tblPr>
        <w:tblW w:w="5000" w:type="pct"/>
        <w:tblInd w:w="5" w:type="dxa"/>
        <w:tblCellMar>
          <w:left w:w="0" w:type="dxa"/>
          <w:right w:w="0" w:type="dxa"/>
        </w:tblCellMar>
        <w:tblLook w:val="04A0" w:firstRow="1" w:lastRow="0" w:firstColumn="1" w:lastColumn="0" w:noHBand="0" w:noVBand="1"/>
      </w:tblPr>
      <w:tblGrid>
        <w:gridCol w:w="360"/>
        <w:gridCol w:w="360"/>
        <w:gridCol w:w="10080"/>
      </w:tblGrid>
      <w:tr w:rsidR="00C820B8" w:rsidRPr="0064652A" w14:paraId="0E117AFF" w14:textId="77777777">
        <w:tc>
          <w:tcPr>
            <w:tcW w:w="360" w:type="dxa"/>
            <w:tcMar>
              <w:top w:w="5" w:type="dxa"/>
              <w:left w:w="5" w:type="dxa"/>
              <w:bottom w:w="5" w:type="dxa"/>
              <w:right w:w="5" w:type="dxa"/>
            </w:tcMar>
            <w:hideMark/>
          </w:tcPr>
          <w:p w14:paraId="7BE81021" w14:textId="77777777" w:rsidR="00C820B8" w:rsidRPr="0064652A" w:rsidRDefault="008D7FC6">
            <w:pPr>
              <w:rPr>
                <w:color w:val="000000"/>
              </w:rPr>
            </w:pPr>
            <w:r w:rsidRPr="0064652A">
              <w:rPr>
                <w:color w:val="000000"/>
              </w:rPr>
              <w:t> </w:t>
            </w:r>
          </w:p>
        </w:tc>
        <w:tc>
          <w:tcPr>
            <w:tcW w:w="360" w:type="dxa"/>
            <w:tcMar>
              <w:top w:w="5" w:type="dxa"/>
              <w:left w:w="5" w:type="dxa"/>
              <w:bottom w:w="5" w:type="dxa"/>
              <w:right w:w="5" w:type="dxa"/>
            </w:tcMar>
            <w:hideMark/>
          </w:tcPr>
          <w:p w14:paraId="10BFB3F5" w14:textId="77777777" w:rsidR="00C820B8" w:rsidRPr="0064652A" w:rsidRDefault="008D7FC6">
            <w:pPr>
              <w:rPr>
                <w:color w:val="000000"/>
                <w:sz w:val="20"/>
                <w:szCs w:val="20"/>
              </w:rPr>
            </w:pPr>
            <w:r w:rsidRPr="0064652A">
              <w:rPr>
                <w:color w:val="000000"/>
                <w:sz w:val="20"/>
                <w:szCs w:val="20"/>
              </w:rPr>
              <w:t>5.</w:t>
            </w:r>
          </w:p>
        </w:tc>
        <w:tc>
          <w:tcPr>
            <w:tcW w:w="0" w:type="auto"/>
            <w:tcMar>
              <w:top w:w="5" w:type="dxa"/>
              <w:left w:w="5" w:type="dxa"/>
              <w:bottom w:w="5" w:type="dxa"/>
              <w:right w:w="5" w:type="dxa"/>
            </w:tcMar>
            <w:hideMark/>
          </w:tcPr>
          <w:p w14:paraId="25677C1F" w14:textId="77777777" w:rsidR="00C820B8" w:rsidRPr="0064652A" w:rsidRDefault="008D7FC6">
            <w:pPr>
              <w:rPr>
                <w:color w:val="000000"/>
                <w:sz w:val="20"/>
                <w:szCs w:val="20"/>
              </w:rPr>
            </w:pPr>
            <w:r w:rsidRPr="0064652A">
              <w:rPr>
                <w:color w:val="000000"/>
                <w:sz w:val="20"/>
                <w:szCs w:val="20"/>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p w14:paraId="4FA831EC" w14:textId="77777777" w:rsidR="00C820B8" w:rsidRPr="0064652A" w:rsidRDefault="008D7FC6">
      <w:pPr>
        <w:rPr>
          <w:sz w:val="20"/>
          <w:szCs w:val="20"/>
        </w:rPr>
      </w:pPr>
      <w:r w:rsidRPr="0064652A">
        <w:rPr>
          <w:sz w:val="20"/>
          <w:szCs w:val="20"/>
        </w:rPr>
        <w:t> </w:t>
      </w:r>
    </w:p>
    <w:p w14:paraId="029007CD" w14:textId="77777777" w:rsidR="00C820B8" w:rsidRPr="0064652A" w:rsidRDefault="008D7FC6">
      <w:pPr>
        <w:ind w:left="1080"/>
        <w:rPr>
          <w:sz w:val="20"/>
          <w:szCs w:val="20"/>
        </w:rPr>
      </w:pPr>
      <w:r w:rsidRPr="0064652A">
        <w:rPr>
          <w:sz w:val="20"/>
          <w:szCs w:val="20"/>
        </w:rPr>
        <w:t>a) All significant deficiencies and material weaknesses in the design or operation of internal control over financial reporting which are reasonably likely to adversely affect the registrant’s ability to record, process, summarize and report financial information; and</w:t>
      </w:r>
    </w:p>
    <w:p w14:paraId="6A87E783" w14:textId="77777777" w:rsidR="00C820B8" w:rsidRPr="0064652A" w:rsidRDefault="008D7FC6">
      <w:pPr>
        <w:rPr>
          <w:sz w:val="20"/>
          <w:szCs w:val="20"/>
        </w:rPr>
      </w:pPr>
      <w:r w:rsidRPr="0064652A">
        <w:rPr>
          <w:sz w:val="20"/>
          <w:szCs w:val="20"/>
        </w:rPr>
        <w:t> </w:t>
      </w:r>
    </w:p>
    <w:p w14:paraId="7AC97497" w14:textId="77777777" w:rsidR="00C820B8" w:rsidRPr="0064652A" w:rsidRDefault="008D7FC6">
      <w:pPr>
        <w:ind w:left="1080"/>
        <w:rPr>
          <w:sz w:val="20"/>
          <w:szCs w:val="20"/>
        </w:rPr>
      </w:pPr>
      <w:r w:rsidRPr="0064652A">
        <w:rPr>
          <w:sz w:val="20"/>
          <w:szCs w:val="20"/>
        </w:rPr>
        <w:t>b) Any fraud, whether or not material, that involves management or other employees who have a significant role in the registrant’s internal control over financial reporting.</w:t>
      </w:r>
    </w:p>
    <w:p w14:paraId="1D8ABA32" w14:textId="77777777" w:rsidR="00C820B8" w:rsidRPr="0064652A" w:rsidRDefault="008D7FC6">
      <w:pPr>
        <w:rPr>
          <w:sz w:val="20"/>
          <w:szCs w:val="20"/>
        </w:rPr>
      </w:pPr>
      <w:r w:rsidRPr="0064652A">
        <w:rPr>
          <w:sz w:val="20"/>
          <w:szCs w:val="20"/>
        </w:rPr>
        <w:t> </w:t>
      </w:r>
    </w:p>
    <w:tbl>
      <w:tblPr>
        <w:tblW w:w="5000" w:type="pct"/>
        <w:jc w:val="center"/>
        <w:tblCellMar>
          <w:left w:w="0" w:type="dxa"/>
          <w:right w:w="0" w:type="dxa"/>
        </w:tblCellMar>
        <w:tblLook w:val="04A0" w:firstRow="1" w:lastRow="0" w:firstColumn="1" w:lastColumn="0" w:noHBand="0" w:noVBand="1"/>
      </w:tblPr>
      <w:tblGrid>
        <w:gridCol w:w="6480"/>
        <w:gridCol w:w="4320"/>
      </w:tblGrid>
      <w:tr w:rsidR="00C820B8" w:rsidRPr="0064652A" w14:paraId="7187336C" w14:textId="77777777">
        <w:trPr>
          <w:jc w:val="center"/>
        </w:trPr>
        <w:tc>
          <w:tcPr>
            <w:tcW w:w="3000" w:type="pct"/>
            <w:tcMar>
              <w:top w:w="5" w:type="dxa"/>
              <w:left w:w="5" w:type="dxa"/>
              <w:bottom w:w="5" w:type="dxa"/>
              <w:right w:w="5" w:type="dxa"/>
            </w:tcMar>
            <w:vAlign w:val="bottom"/>
            <w:hideMark/>
          </w:tcPr>
          <w:p w14:paraId="6E15D505" w14:textId="77777777" w:rsidR="00C820B8" w:rsidRPr="0064652A" w:rsidRDefault="008D7FC6">
            <w:pPr>
              <w:rPr>
                <w:color w:val="000000"/>
                <w:sz w:val="20"/>
                <w:szCs w:val="20"/>
              </w:rPr>
            </w:pPr>
            <w:r w:rsidRPr="0064652A">
              <w:rPr>
                <w:color w:val="000000"/>
                <w:sz w:val="20"/>
                <w:szCs w:val="20"/>
              </w:rPr>
              <w:t xml:space="preserve">Date: </w:t>
            </w:r>
            <w:bookmarkStart w:id="56" w:name="led288631F2022881662680652864"/>
            <w:r w:rsidRPr="0064652A">
              <w:rPr>
                <w:color w:val="000000"/>
                <w:sz w:val="20"/>
                <w:szCs w:val="20"/>
              </w:rPr>
              <w:t>February 20, 2024</w:t>
            </w:r>
            <w:bookmarkEnd w:id="56"/>
          </w:p>
        </w:tc>
        <w:tc>
          <w:tcPr>
            <w:tcW w:w="2000" w:type="pct"/>
            <w:tcBorders>
              <w:bottom w:val="single" w:sz="6" w:space="0" w:color="000000"/>
            </w:tcBorders>
            <w:tcMar>
              <w:top w:w="5" w:type="dxa"/>
              <w:left w:w="5" w:type="dxa"/>
              <w:bottom w:w="8" w:type="dxa"/>
              <w:right w:w="5" w:type="dxa"/>
            </w:tcMar>
            <w:vAlign w:val="bottom"/>
            <w:hideMark/>
          </w:tcPr>
          <w:p w14:paraId="569A1E3F" w14:textId="77777777" w:rsidR="00C820B8" w:rsidRPr="0064652A" w:rsidRDefault="008D7FC6">
            <w:pPr>
              <w:rPr>
                <w:color w:val="000000"/>
                <w:sz w:val="20"/>
                <w:szCs w:val="20"/>
              </w:rPr>
            </w:pPr>
            <w:r w:rsidRPr="0064652A">
              <w:rPr>
                <w:color w:val="000000"/>
                <w:sz w:val="20"/>
                <w:szCs w:val="20"/>
              </w:rPr>
              <w:t>/s/ Richard Li</w:t>
            </w:r>
          </w:p>
        </w:tc>
      </w:tr>
      <w:tr w:rsidR="00C820B8" w:rsidRPr="0064652A" w14:paraId="03F1865A" w14:textId="77777777">
        <w:trPr>
          <w:jc w:val="center"/>
        </w:trPr>
        <w:tc>
          <w:tcPr>
            <w:tcW w:w="3000" w:type="pct"/>
            <w:tcMar>
              <w:top w:w="5" w:type="dxa"/>
              <w:left w:w="5" w:type="dxa"/>
              <w:bottom w:w="5" w:type="dxa"/>
              <w:right w:w="5" w:type="dxa"/>
            </w:tcMar>
            <w:vAlign w:val="bottom"/>
            <w:hideMark/>
          </w:tcPr>
          <w:p w14:paraId="6ACC9C96" w14:textId="77777777" w:rsidR="00C820B8" w:rsidRPr="0064652A" w:rsidRDefault="008D7FC6">
            <w:pPr>
              <w:rPr>
                <w:color w:val="000000"/>
                <w:sz w:val="20"/>
                <w:szCs w:val="20"/>
              </w:rPr>
            </w:pPr>
            <w:r w:rsidRPr="0064652A">
              <w:rPr>
                <w:color w:val="000000"/>
                <w:sz w:val="20"/>
                <w:szCs w:val="20"/>
              </w:rPr>
              <w:t> </w:t>
            </w:r>
          </w:p>
        </w:tc>
        <w:tc>
          <w:tcPr>
            <w:tcW w:w="2000" w:type="pct"/>
            <w:tcMar>
              <w:top w:w="5" w:type="dxa"/>
              <w:left w:w="5" w:type="dxa"/>
              <w:bottom w:w="5" w:type="dxa"/>
              <w:right w:w="5" w:type="dxa"/>
            </w:tcMar>
            <w:vAlign w:val="bottom"/>
            <w:hideMark/>
          </w:tcPr>
          <w:p w14:paraId="46A00520" w14:textId="77777777" w:rsidR="00C820B8" w:rsidRPr="0064652A" w:rsidRDefault="008D7FC6">
            <w:pPr>
              <w:rPr>
                <w:color w:val="000000"/>
                <w:sz w:val="20"/>
                <w:szCs w:val="20"/>
              </w:rPr>
            </w:pPr>
            <w:r w:rsidRPr="0064652A">
              <w:rPr>
                <w:color w:val="000000"/>
                <w:sz w:val="20"/>
                <w:szCs w:val="20"/>
              </w:rPr>
              <w:t>Richard Li</w:t>
            </w:r>
          </w:p>
        </w:tc>
      </w:tr>
      <w:tr w:rsidR="00C820B8" w:rsidRPr="0064652A" w14:paraId="01B8EEEA" w14:textId="77777777">
        <w:trPr>
          <w:jc w:val="center"/>
        </w:trPr>
        <w:tc>
          <w:tcPr>
            <w:tcW w:w="3000" w:type="pct"/>
            <w:tcMar>
              <w:top w:w="5" w:type="dxa"/>
              <w:left w:w="5" w:type="dxa"/>
              <w:bottom w:w="5" w:type="dxa"/>
              <w:right w:w="5" w:type="dxa"/>
            </w:tcMar>
            <w:vAlign w:val="bottom"/>
            <w:hideMark/>
          </w:tcPr>
          <w:p w14:paraId="63BBE97C" w14:textId="77777777" w:rsidR="00C820B8" w:rsidRPr="0064652A" w:rsidRDefault="008D7FC6">
            <w:pPr>
              <w:rPr>
                <w:color w:val="000000"/>
                <w:sz w:val="20"/>
                <w:szCs w:val="20"/>
              </w:rPr>
            </w:pPr>
            <w:r w:rsidRPr="0064652A">
              <w:rPr>
                <w:color w:val="000000"/>
                <w:sz w:val="20"/>
                <w:szCs w:val="20"/>
              </w:rPr>
              <w:t> </w:t>
            </w:r>
          </w:p>
        </w:tc>
        <w:tc>
          <w:tcPr>
            <w:tcW w:w="2000" w:type="pct"/>
            <w:tcMar>
              <w:top w:w="5" w:type="dxa"/>
              <w:left w:w="5" w:type="dxa"/>
              <w:bottom w:w="5" w:type="dxa"/>
              <w:right w:w="5" w:type="dxa"/>
            </w:tcMar>
            <w:vAlign w:val="bottom"/>
            <w:hideMark/>
          </w:tcPr>
          <w:p w14:paraId="3AF91C21" w14:textId="77777777" w:rsidR="00C820B8" w:rsidRPr="0064652A" w:rsidRDefault="008D7FC6">
            <w:pPr>
              <w:rPr>
                <w:color w:val="000000"/>
                <w:sz w:val="20"/>
                <w:szCs w:val="20"/>
              </w:rPr>
            </w:pPr>
            <w:r w:rsidRPr="0064652A">
              <w:rPr>
                <w:color w:val="000000"/>
                <w:sz w:val="20"/>
                <w:szCs w:val="20"/>
              </w:rPr>
              <w:t>Chief Financial Officer</w:t>
            </w:r>
          </w:p>
        </w:tc>
      </w:tr>
    </w:tbl>
    <w:p w14:paraId="2EB24114" w14:textId="77777777" w:rsidR="00C820B8" w:rsidRPr="0064652A" w:rsidRDefault="008D7FC6">
      <w:pPr>
        <w:rPr>
          <w:sz w:val="20"/>
          <w:szCs w:val="20"/>
        </w:rPr>
      </w:pPr>
      <w:r w:rsidRPr="0064652A">
        <w:rPr>
          <w:sz w:val="20"/>
          <w:szCs w:val="20"/>
        </w:rPr>
        <w:t> </w:t>
      </w:r>
    </w:p>
    <w:p w14:paraId="07776D58" w14:textId="77777777" w:rsidR="00C820B8" w:rsidRPr="0064652A" w:rsidRDefault="008D7FC6">
      <w:pPr>
        <w:rPr>
          <w:sz w:val="20"/>
          <w:szCs w:val="20"/>
        </w:rPr>
      </w:pPr>
      <w:r w:rsidRPr="0064652A">
        <w:rPr>
          <w:sz w:val="20"/>
          <w:szCs w:val="20"/>
        </w:rPr>
        <w:t> </w:t>
      </w:r>
    </w:p>
    <w:p w14:paraId="0BAA819E" w14:textId="77777777" w:rsidR="00C820B8" w:rsidRPr="0064652A" w:rsidRDefault="008D7FC6">
      <w:pPr>
        <w:rPr>
          <w:sz w:val="20"/>
          <w:szCs w:val="20"/>
        </w:rPr>
      </w:pPr>
      <w:r w:rsidRPr="0064652A">
        <w:rPr>
          <w:sz w:val="20"/>
          <w:szCs w:val="20"/>
        </w:rPr>
        <w:t>A signed original of this written statement required by Section 302 has been provided to Emerson Radio Corp. and will be retained by Emerson Radio Corp. and furnished to the Securities and Exchange Commission or its staff upon request.</w:t>
      </w:r>
    </w:p>
    <w:p w14:paraId="273B4A2A" w14:textId="77777777" w:rsidR="00C820B8" w:rsidRPr="0064652A" w:rsidRDefault="008D7FC6">
      <w:pPr>
        <w:jc w:val="right"/>
        <w:rPr>
          <w:sz w:val="20"/>
          <w:szCs w:val="20"/>
        </w:rPr>
      </w:pPr>
      <w:r w:rsidRPr="0064652A">
        <w:rPr>
          <w:sz w:val="20"/>
          <w:szCs w:val="20"/>
        </w:rPr>
        <w:t> </w:t>
      </w:r>
    </w:p>
    <w:p w14:paraId="2898F6D7" w14:textId="77777777" w:rsidR="00C820B8" w:rsidRPr="0064652A" w:rsidRDefault="008D7FC6">
      <w:pPr>
        <w:sectPr w:rsidR="00C820B8" w:rsidRPr="0064652A" w:rsidSect="002C1B0F">
          <w:pgSz w:w="12240" w:h="15840"/>
          <w:pgMar w:top="576" w:right="720" w:bottom="576" w:left="720" w:header="144" w:footer="432" w:gutter="0"/>
          <w:cols w:space="720"/>
        </w:sectPr>
      </w:pPr>
      <w:r w:rsidRPr="0064652A">
        <w:t> </w:t>
      </w:r>
    </w:p>
    <w:p w14:paraId="0F4257D2" w14:textId="77777777" w:rsidR="00C820B8" w:rsidRPr="0064652A" w:rsidRDefault="008D7FC6">
      <w:pPr>
        <w:jc w:val="right"/>
        <w:rPr>
          <w:sz w:val="20"/>
          <w:szCs w:val="20"/>
        </w:rPr>
      </w:pPr>
      <w:r w:rsidRPr="0064652A">
        <w:rPr>
          <w:b/>
          <w:bCs/>
          <w:sz w:val="20"/>
          <w:szCs w:val="20"/>
        </w:rPr>
        <w:lastRenderedPageBreak/>
        <w:t>Exhibit 32</w:t>
      </w:r>
    </w:p>
    <w:p w14:paraId="7F2FD23A" w14:textId="77777777" w:rsidR="00C820B8" w:rsidRPr="0064652A" w:rsidRDefault="008D7FC6">
      <w:pPr>
        <w:rPr>
          <w:sz w:val="20"/>
          <w:szCs w:val="20"/>
        </w:rPr>
      </w:pPr>
      <w:r w:rsidRPr="0064652A">
        <w:rPr>
          <w:sz w:val="20"/>
          <w:szCs w:val="20"/>
        </w:rPr>
        <w:t> </w:t>
      </w:r>
    </w:p>
    <w:p w14:paraId="68A0EB16" w14:textId="77777777" w:rsidR="00C820B8" w:rsidRPr="0064652A" w:rsidRDefault="008D7FC6">
      <w:pPr>
        <w:jc w:val="center"/>
        <w:rPr>
          <w:sz w:val="20"/>
          <w:szCs w:val="20"/>
        </w:rPr>
      </w:pPr>
      <w:r w:rsidRPr="0064652A">
        <w:rPr>
          <w:b/>
          <w:bCs/>
          <w:sz w:val="20"/>
          <w:szCs w:val="20"/>
        </w:rPr>
        <w:t>CERTIFICATION PURSUANT TO</w:t>
      </w:r>
    </w:p>
    <w:p w14:paraId="00679A1D" w14:textId="77777777" w:rsidR="00C820B8" w:rsidRPr="0064652A" w:rsidRDefault="008D7FC6">
      <w:pPr>
        <w:jc w:val="center"/>
        <w:rPr>
          <w:sz w:val="20"/>
          <w:szCs w:val="20"/>
        </w:rPr>
      </w:pPr>
      <w:r w:rsidRPr="0064652A">
        <w:rPr>
          <w:b/>
          <w:bCs/>
          <w:sz w:val="20"/>
          <w:szCs w:val="20"/>
        </w:rPr>
        <w:t>18 U.S.C. SECTION 1350,</w:t>
      </w:r>
    </w:p>
    <w:p w14:paraId="21900C53" w14:textId="77777777" w:rsidR="00C820B8" w:rsidRPr="0064652A" w:rsidRDefault="008D7FC6">
      <w:pPr>
        <w:jc w:val="center"/>
        <w:rPr>
          <w:sz w:val="20"/>
          <w:szCs w:val="20"/>
        </w:rPr>
      </w:pPr>
      <w:r w:rsidRPr="0064652A">
        <w:rPr>
          <w:b/>
          <w:bCs/>
          <w:sz w:val="20"/>
          <w:szCs w:val="20"/>
        </w:rPr>
        <w:t>AS ADOPTED PURSUANT TO</w:t>
      </w:r>
    </w:p>
    <w:p w14:paraId="2E359210" w14:textId="77777777" w:rsidR="00C820B8" w:rsidRPr="0064652A" w:rsidRDefault="008D7FC6">
      <w:pPr>
        <w:jc w:val="center"/>
        <w:rPr>
          <w:sz w:val="20"/>
          <w:szCs w:val="20"/>
        </w:rPr>
      </w:pPr>
      <w:r w:rsidRPr="0064652A">
        <w:rPr>
          <w:b/>
          <w:bCs/>
          <w:sz w:val="20"/>
          <w:szCs w:val="20"/>
        </w:rPr>
        <w:t>SECTION 906 OF THE SARBANES-OXLEY ACT OF 2002</w:t>
      </w:r>
    </w:p>
    <w:p w14:paraId="583143BB" w14:textId="77777777" w:rsidR="00C820B8" w:rsidRPr="0064652A" w:rsidRDefault="008D7FC6">
      <w:pPr>
        <w:rPr>
          <w:sz w:val="20"/>
          <w:szCs w:val="20"/>
        </w:rPr>
      </w:pPr>
      <w:r w:rsidRPr="0064652A">
        <w:rPr>
          <w:sz w:val="20"/>
          <w:szCs w:val="20"/>
        </w:rPr>
        <w:t> </w:t>
      </w:r>
    </w:p>
    <w:p w14:paraId="7500478E" w14:textId="77777777" w:rsidR="00C820B8" w:rsidRPr="0064652A" w:rsidRDefault="008D7FC6">
      <w:pPr>
        <w:rPr>
          <w:sz w:val="20"/>
          <w:szCs w:val="20"/>
        </w:rPr>
      </w:pPr>
      <w:r w:rsidRPr="0064652A">
        <w:rPr>
          <w:sz w:val="20"/>
          <w:szCs w:val="20"/>
        </w:rPr>
        <w:t xml:space="preserve">In connection with the Quarterly Report of Emerson Radio Corp. (the “Company”) on Form 10-Q for the period ended </w:t>
      </w:r>
      <w:bookmarkStart w:id="57" w:name="led288631F2022881662680685187"/>
      <w:r w:rsidRPr="0064652A">
        <w:rPr>
          <w:sz w:val="20"/>
          <w:szCs w:val="20"/>
        </w:rPr>
        <w:t>December 31, 2023</w:t>
      </w:r>
      <w:bookmarkEnd w:id="57"/>
      <w:r w:rsidRPr="0064652A">
        <w:rPr>
          <w:sz w:val="20"/>
          <w:szCs w:val="20"/>
        </w:rPr>
        <w:t>, filed with the Securities and Exchange Commission (the “Report”), Christopher W. Ho, Chief Executive Officer, and Richard Li, Chief Financial Officer, of the Company each hereby certifies pursuant to 18 U.S.C. section 1350, as adopted pursuant to section 906 of the Sarbanes-Oxley Act of 2002, that:</w:t>
      </w:r>
    </w:p>
    <w:p w14:paraId="26C5FEA2" w14:textId="77777777" w:rsidR="00C820B8" w:rsidRPr="0064652A" w:rsidRDefault="008D7FC6">
      <w:pPr>
        <w:rPr>
          <w:sz w:val="20"/>
          <w:szCs w:val="20"/>
        </w:rPr>
      </w:pPr>
      <w:r w:rsidRPr="0064652A">
        <w:rPr>
          <w:sz w:val="20"/>
          <w:szCs w:val="20"/>
        </w:rPr>
        <w:t> </w:t>
      </w:r>
    </w:p>
    <w:p w14:paraId="14C663FF" w14:textId="77777777" w:rsidR="00C820B8" w:rsidRPr="0064652A" w:rsidRDefault="008D7FC6">
      <w:pPr>
        <w:rPr>
          <w:sz w:val="20"/>
          <w:szCs w:val="20"/>
        </w:rPr>
      </w:pPr>
      <w:r w:rsidRPr="0064652A">
        <w:rPr>
          <w:sz w:val="20"/>
          <w:szCs w:val="20"/>
        </w:rPr>
        <w:t>(1) The Report fully complies with the requirements of Section 13(a) or 15(d) of the Securities Exchange Act of 1934 as amended; and</w:t>
      </w:r>
    </w:p>
    <w:p w14:paraId="19F6EAA2" w14:textId="77777777" w:rsidR="00C820B8" w:rsidRPr="0064652A" w:rsidRDefault="008D7FC6">
      <w:pPr>
        <w:rPr>
          <w:sz w:val="20"/>
          <w:szCs w:val="20"/>
        </w:rPr>
      </w:pPr>
      <w:r w:rsidRPr="0064652A">
        <w:rPr>
          <w:sz w:val="20"/>
          <w:szCs w:val="20"/>
        </w:rPr>
        <w:t> </w:t>
      </w:r>
    </w:p>
    <w:p w14:paraId="3093F6C9" w14:textId="77777777" w:rsidR="00C820B8" w:rsidRPr="0064652A" w:rsidRDefault="008D7FC6">
      <w:pPr>
        <w:rPr>
          <w:sz w:val="20"/>
          <w:szCs w:val="20"/>
        </w:rPr>
      </w:pPr>
      <w:r w:rsidRPr="0064652A">
        <w:rPr>
          <w:sz w:val="20"/>
          <w:szCs w:val="20"/>
        </w:rPr>
        <w:t>(2) The information contained in the Report fairly presents, in all material respects, the consolidated financial condition of the Company as of the dates presented and the consolidated results of operations of the Company for the periods presented.</w:t>
      </w:r>
    </w:p>
    <w:p w14:paraId="376F3DC2" w14:textId="77777777" w:rsidR="00C820B8" w:rsidRPr="0064652A" w:rsidRDefault="008D7FC6">
      <w:pPr>
        <w:rPr>
          <w:sz w:val="20"/>
          <w:szCs w:val="20"/>
        </w:rPr>
      </w:pPr>
      <w:r w:rsidRPr="0064652A">
        <w:rPr>
          <w:sz w:val="20"/>
          <w:szCs w:val="20"/>
        </w:rPr>
        <w:t> </w:t>
      </w:r>
    </w:p>
    <w:p w14:paraId="41A112EB" w14:textId="77777777" w:rsidR="00C820B8" w:rsidRPr="0064652A" w:rsidRDefault="008D7FC6">
      <w:pPr>
        <w:rPr>
          <w:sz w:val="20"/>
          <w:szCs w:val="20"/>
        </w:rPr>
      </w:pPr>
      <w:r w:rsidRPr="0064652A">
        <w:rPr>
          <w:sz w:val="20"/>
          <w:szCs w:val="20"/>
        </w:rPr>
        <w:t xml:space="preserve">Dated: </w:t>
      </w:r>
      <w:bookmarkStart w:id="58" w:name="led288631F2022881662680698794"/>
      <w:r w:rsidRPr="0064652A">
        <w:rPr>
          <w:sz w:val="20"/>
          <w:szCs w:val="20"/>
        </w:rPr>
        <w:t>February 20, 2024</w:t>
      </w:r>
      <w:bookmarkEnd w:id="58"/>
    </w:p>
    <w:p w14:paraId="5B5F9A3C" w14:textId="77777777" w:rsidR="00C820B8" w:rsidRPr="0064652A" w:rsidRDefault="008D7FC6">
      <w:pPr>
        <w:rPr>
          <w:sz w:val="20"/>
          <w:szCs w:val="20"/>
        </w:rPr>
      </w:pPr>
      <w:r w:rsidRPr="0064652A">
        <w:rPr>
          <w:sz w:val="20"/>
          <w:szCs w:val="20"/>
        </w:rPr>
        <w:t> </w:t>
      </w:r>
    </w:p>
    <w:tbl>
      <w:tblPr>
        <w:tblW w:w="5000" w:type="pct"/>
        <w:jc w:val="center"/>
        <w:tblCellMar>
          <w:left w:w="0" w:type="dxa"/>
          <w:right w:w="0" w:type="dxa"/>
        </w:tblCellMar>
        <w:tblLook w:val="04A0" w:firstRow="1" w:lastRow="0" w:firstColumn="1" w:lastColumn="0" w:noHBand="0" w:noVBand="1"/>
      </w:tblPr>
      <w:tblGrid>
        <w:gridCol w:w="6454"/>
        <w:gridCol w:w="299"/>
        <w:gridCol w:w="87"/>
        <w:gridCol w:w="3960"/>
      </w:tblGrid>
      <w:tr w:rsidR="00C820B8" w:rsidRPr="0064652A" w14:paraId="325FC816" w14:textId="77777777">
        <w:trPr>
          <w:jc w:val="center"/>
        </w:trPr>
        <w:tc>
          <w:tcPr>
            <w:tcW w:w="1390" w:type="pct"/>
            <w:tcMar>
              <w:top w:w="5" w:type="dxa"/>
              <w:left w:w="5" w:type="dxa"/>
              <w:bottom w:w="5" w:type="dxa"/>
              <w:right w:w="5" w:type="dxa"/>
            </w:tcMar>
            <w:vAlign w:val="bottom"/>
            <w:hideMark/>
          </w:tcPr>
          <w:p w14:paraId="7DACD9F8" w14:textId="77777777" w:rsidR="00C820B8" w:rsidRPr="0064652A" w:rsidRDefault="008D7FC6">
            <w:pPr>
              <w:rPr>
                <w:color w:val="000000"/>
                <w:sz w:val="20"/>
                <w:szCs w:val="20"/>
              </w:rPr>
            </w:pPr>
            <w:r w:rsidRPr="0064652A">
              <w:rPr>
                <w:color w:val="000000"/>
                <w:sz w:val="20"/>
                <w:szCs w:val="20"/>
              </w:rPr>
              <w:t> </w:t>
            </w:r>
          </w:p>
        </w:tc>
        <w:tc>
          <w:tcPr>
            <w:tcW w:w="45" w:type="pct"/>
            <w:tcMar>
              <w:top w:w="5" w:type="dxa"/>
              <w:left w:w="5" w:type="dxa"/>
              <w:bottom w:w="5" w:type="dxa"/>
              <w:right w:w="5" w:type="dxa"/>
            </w:tcMar>
            <w:vAlign w:val="bottom"/>
            <w:hideMark/>
          </w:tcPr>
          <w:p w14:paraId="6B32E7B1" w14:textId="77777777" w:rsidR="00C820B8" w:rsidRPr="0064652A" w:rsidRDefault="008D7FC6">
            <w:pPr>
              <w:rPr>
                <w:color w:val="000000"/>
                <w:sz w:val="20"/>
                <w:szCs w:val="20"/>
              </w:rPr>
            </w:pPr>
            <w:r w:rsidRPr="0064652A">
              <w:rPr>
                <w:color w:val="000000"/>
                <w:sz w:val="20"/>
                <w:szCs w:val="20"/>
              </w:rPr>
              <w:t>By:</w:t>
            </w:r>
          </w:p>
        </w:tc>
        <w:tc>
          <w:tcPr>
            <w:tcW w:w="25" w:type="pct"/>
            <w:tcMar>
              <w:top w:w="5" w:type="dxa"/>
              <w:left w:w="5" w:type="dxa"/>
              <w:bottom w:w="5" w:type="dxa"/>
              <w:right w:w="5" w:type="dxa"/>
            </w:tcMar>
            <w:vAlign w:val="bottom"/>
            <w:hideMark/>
          </w:tcPr>
          <w:p w14:paraId="1AEF6105" w14:textId="77777777" w:rsidR="00C820B8" w:rsidRPr="0064652A" w:rsidRDefault="008D7FC6">
            <w:pPr>
              <w:rPr>
                <w:color w:val="000000"/>
                <w:sz w:val="20"/>
                <w:szCs w:val="20"/>
              </w:rPr>
            </w:pPr>
            <w:r w:rsidRPr="0064652A">
              <w:rPr>
                <w:color w:val="000000"/>
                <w:sz w:val="20"/>
                <w:szCs w:val="20"/>
              </w:rPr>
              <w:t> </w:t>
            </w:r>
          </w:p>
        </w:tc>
        <w:tc>
          <w:tcPr>
            <w:tcW w:w="855" w:type="pct"/>
            <w:tcBorders>
              <w:bottom w:val="single" w:sz="6" w:space="0" w:color="000000"/>
            </w:tcBorders>
            <w:tcMar>
              <w:top w:w="5" w:type="dxa"/>
              <w:left w:w="5" w:type="dxa"/>
              <w:bottom w:w="8" w:type="dxa"/>
              <w:right w:w="5" w:type="dxa"/>
            </w:tcMar>
            <w:vAlign w:val="bottom"/>
            <w:hideMark/>
          </w:tcPr>
          <w:p w14:paraId="6C69D00F" w14:textId="77777777" w:rsidR="00C820B8" w:rsidRPr="0064652A" w:rsidRDefault="008D7FC6">
            <w:pPr>
              <w:rPr>
                <w:color w:val="000000"/>
                <w:sz w:val="20"/>
                <w:szCs w:val="20"/>
              </w:rPr>
            </w:pPr>
            <w:r w:rsidRPr="0064652A">
              <w:rPr>
                <w:color w:val="000000"/>
                <w:sz w:val="20"/>
                <w:szCs w:val="20"/>
              </w:rPr>
              <w:t>/s/ Christopher W. Ho</w:t>
            </w:r>
          </w:p>
        </w:tc>
      </w:tr>
      <w:tr w:rsidR="00C820B8" w:rsidRPr="0064652A" w14:paraId="63F91FCC" w14:textId="77777777">
        <w:trPr>
          <w:jc w:val="center"/>
        </w:trPr>
        <w:tc>
          <w:tcPr>
            <w:tcW w:w="1390" w:type="pct"/>
            <w:tcMar>
              <w:top w:w="5" w:type="dxa"/>
              <w:left w:w="5" w:type="dxa"/>
              <w:bottom w:w="5" w:type="dxa"/>
              <w:right w:w="5" w:type="dxa"/>
            </w:tcMar>
            <w:vAlign w:val="bottom"/>
            <w:hideMark/>
          </w:tcPr>
          <w:p w14:paraId="1F8BB88E" w14:textId="77777777" w:rsidR="00C820B8" w:rsidRPr="0064652A" w:rsidRDefault="008D7FC6">
            <w:pPr>
              <w:rPr>
                <w:color w:val="000000"/>
                <w:sz w:val="20"/>
                <w:szCs w:val="20"/>
              </w:rPr>
            </w:pPr>
            <w:r w:rsidRPr="0064652A">
              <w:rPr>
                <w:color w:val="000000"/>
                <w:sz w:val="20"/>
                <w:szCs w:val="20"/>
              </w:rPr>
              <w:t> </w:t>
            </w:r>
          </w:p>
        </w:tc>
        <w:tc>
          <w:tcPr>
            <w:tcW w:w="45" w:type="pct"/>
            <w:tcMar>
              <w:top w:w="5" w:type="dxa"/>
              <w:left w:w="5" w:type="dxa"/>
              <w:bottom w:w="5" w:type="dxa"/>
              <w:right w:w="5" w:type="dxa"/>
            </w:tcMar>
            <w:vAlign w:val="bottom"/>
            <w:hideMark/>
          </w:tcPr>
          <w:p w14:paraId="4E33DAC7" w14:textId="77777777" w:rsidR="00C820B8" w:rsidRPr="0064652A" w:rsidRDefault="008D7FC6">
            <w:pPr>
              <w:rPr>
                <w:color w:val="000000"/>
                <w:sz w:val="20"/>
                <w:szCs w:val="20"/>
              </w:rPr>
            </w:pPr>
            <w:r w:rsidRPr="0064652A">
              <w:rPr>
                <w:color w:val="000000"/>
                <w:sz w:val="20"/>
                <w:szCs w:val="20"/>
              </w:rPr>
              <w:t> </w:t>
            </w:r>
          </w:p>
        </w:tc>
        <w:tc>
          <w:tcPr>
            <w:tcW w:w="25" w:type="pct"/>
            <w:tcMar>
              <w:top w:w="5" w:type="dxa"/>
              <w:left w:w="5" w:type="dxa"/>
              <w:bottom w:w="5" w:type="dxa"/>
              <w:right w:w="5" w:type="dxa"/>
            </w:tcMar>
            <w:vAlign w:val="bottom"/>
            <w:hideMark/>
          </w:tcPr>
          <w:p w14:paraId="365CF12A" w14:textId="77777777" w:rsidR="00C820B8" w:rsidRPr="0064652A" w:rsidRDefault="008D7FC6">
            <w:pPr>
              <w:rPr>
                <w:color w:val="000000"/>
                <w:sz w:val="20"/>
                <w:szCs w:val="20"/>
              </w:rPr>
            </w:pPr>
            <w:r w:rsidRPr="0064652A">
              <w:rPr>
                <w:color w:val="000000"/>
                <w:sz w:val="20"/>
                <w:szCs w:val="20"/>
              </w:rPr>
              <w:t> </w:t>
            </w:r>
          </w:p>
        </w:tc>
        <w:tc>
          <w:tcPr>
            <w:tcW w:w="855" w:type="pct"/>
            <w:tcMar>
              <w:top w:w="5" w:type="dxa"/>
              <w:left w:w="5" w:type="dxa"/>
              <w:bottom w:w="5" w:type="dxa"/>
              <w:right w:w="5" w:type="dxa"/>
            </w:tcMar>
            <w:vAlign w:val="bottom"/>
            <w:hideMark/>
          </w:tcPr>
          <w:p w14:paraId="269CAF2D" w14:textId="77777777" w:rsidR="00C820B8" w:rsidRPr="0064652A" w:rsidRDefault="008D7FC6">
            <w:pPr>
              <w:rPr>
                <w:color w:val="000000"/>
                <w:sz w:val="20"/>
                <w:szCs w:val="20"/>
              </w:rPr>
            </w:pPr>
            <w:r w:rsidRPr="0064652A">
              <w:rPr>
                <w:color w:val="000000"/>
                <w:sz w:val="20"/>
                <w:szCs w:val="20"/>
              </w:rPr>
              <w:t>Christopher W. Ho</w:t>
            </w:r>
          </w:p>
        </w:tc>
      </w:tr>
      <w:tr w:rsidR="00C820B8" w:rsidRPr="0064652A" w14:paraId="74A876A9" w14:textId="77777777">
        <w:trPr>
          <w:jc w:val="center"/>
        </w:trPr>
        <w:tc>
          <w:tcPr>
            <w:tcW w:w="1390" w:type="pct"/>
            <w:tcMar>
              <w:top w:w="5" w:type="dxa"/>
              <w:left w:w="5" w:type="dxa"/>
              <w:bottom w:w="5" w:type="dxa"/>
              <w:right w:w="5" w:type="dxa"/>
            </w:tcMar>
            <w:vAlign w:val="bottom"/>
            <w:hideMark/>
          </w:tcPr>
          <w:p w14:paraId="6745B5C4" w14:textId="77777777" w:rsidR="00C820B8" w:rsidRPr="0064652A" w:rsidRDefault="008D7FC6">
            <w:pPr>
              <w:rPr>
                <w:color w:val="000000"/>
                <w:sz w:val="20"/>
                <w:szCs w:val="20"/>
              </w:rPr>
            </w:pPr>
            <w:r w:rsidRPr="0064652A">
              <w:rPr>
                <w:color w:val="000000"/>
                <w:sz w:val="20"/>
                <w:szCs w:val="20"/>
              </w:rPr>
              <w:t> </w:t>
            </w:r>
          </w:p>
        </w:tc>
        <w:tc>
          <w:tcPr>
            <w:tcW w:w="45" w:type="pct"/>
            <w:tcMar>
              <w:top w:w="5" w:type="dxa"/>
              <w:left w:w="5" w:type="dxa"/>
              <w:bottom w:w="5" w:type="dxa"/>
              <w:right w:w="5" w:type="dxa"/>
            </w:tcMar>
            <w:vAlign w:val="bottom"/>
            <w:hideMark/>
          </w:tcPr>
          <w:p w14:paraId="785B062D" w14:textId="77777777" w:rsidR="00C820B8" w:rsidRPr="0064652A" w:rsidRDefault="008D7FC6">
            <w:pPr>
              <w:rPr>
                <w:color w:val="000000"/>
                <w:sz w:val="20"/>
                <w:szCs w:val="20"/>
              </w:rPr>
            </w:pPr>
            <w:r w:rsidRPr="0064652A">
              <w:rPr>
                <w:color w:val="000000"/>
                <w:sz w:val="20"/>
                <w:szCs w:val="20"/>
              </w:rPr>
              <w:t> </w:t>
            </w:r>
          </w:p>
        </w:tc>
        <w:tc>
          <w:tcPr>
            <w:tcW w:w="25" w:type="pct"/>
            <w:tcMar>
              <w:top w:w="5" w:type="dxa"/>
              <w:left w:w="5" w:type="dxa"/>
              <w:bottom w:w="5" w:type="dxa"/>
              <w:right w:w="5" w:type="dxa"/>
            </w:tcMar>
            <w:vAlign w:val="bottom"/>
            <w:hideMark/>
          </w:tcPr>
          <w:p w14:paraId="5708F4B7" w14:textId="77777777" w:rsidR="00C820B8" w:rsidRPr="0064652A" w:rsidRDefault="008D7FC6">
            <w:pPr>
              <w:rPr>
                <w:color w:val="000000"/>
                <w:sz w:val="20"/>
                <w:szCs w:val="20"/>
              </w:rPr>
            </w:pPr>
            <w:r w:rsidRPr="0064652A">
              <w:rPr>
                <w:color w:val="000000"/>
                <w:sz w:val="20"/>
                <w:szCs w:val="20"/>
              </w:rPr>
              <w:t> </w:t>
            </w:r>
          </w:p>
        </w:tc>
        <w:tc>
          <w:tcPr>
            <w:tcW w:w="855" w:type="pct"/>
            <w:tcMar>
              <w:top w:w="5" w:type="dxa"/>
              <w:left w:w="5" w:type="dxa"/>
              <w:bottom w:w="5" w:type="dxa"/>
              <w:right w:w="5" w:type="dxa"/>
            </w:tcMar>
            <w:vAlign w:val="bottom"/>
            <w:hideMark/>
          </w:tcPr>
          <w:p w14:paraId="0DA100CD" w14:textId="77777777" w:rsidR="00C820B8" w:rsidRPr="0064652A" w:rsidRDefault="008D7FC6">
            <w:pPr>
              <w:rPr>
                <w:color w:val="000000"/>
                <w:sz w:val="20"/>
                <w:szCs w:val="20"/>
              </w:rPr>
            </w:pPr>
            <w:r w:rsidRPr="0064652A">
              <w:rPr>
                <w:color w:val="000000"/>
                <w:sz w:val="20"/>
                <w:szCs w:val="20"/>
              </w:rPr>
              <w:t>Chief Executive Officer</w:t>
            </w:r>
          </w:p>
        </w:tc>
      </w:tr>
      <w:tr w:rsidR="00C820B8" w:rsidRPr="0064652A" w14:paraId="0344CC9E" w14:textId="77777777">
        <w:trPr>
          <w:jc w:val="center"/>
        </w:trPr>
        <w:tc>
          <w:tcPr>
            <w:tcW w:w="1390" w:type="pct"/>
            <w:tcMar>
              <w:top w:w="5" w:type="dxa"/>
              <w:left w:w="5" w:type="dxa"/>
              <w:bottom w:w="5" w:type="dxa"/>
              <w:right w:w="5" w:type="dxa"/>
            </w:tcMar>
            <w:vAlign w:val="bottom"/>
            <w:hideMark/>
          </w:tcPr>
          <w:p w14:paraId="7DDD2874" w14:textId="77777777" w:rsidR="00C820B8" w:rsidRPr="0064652A" w:rsidRDefault="008D7FC6">
            <w:pPr>
              <w:rPr>
                <w:color w:val="000000"/>
                <w:sz w:val="20"/>
                <w:szCs w:val="20"/>
              </w:rPr>
            </w:pPr>
            <w:r w:rsidRPr="0064652A">
              <w:rPr>
                <w:color w:val="000000"/>
                <w:sz w:val="20"/>
                <w:szCs w:val="20"/>
              </w:rPr>
              <w:t> </w:t>
            </w:r>
          </w:p>
        </w:tc>
        <w:tc>
          <w:tcPr>
            <w:tcW w:w="45" w:type="pct"/>
            <w:tcMar>
              <w:top w:w="5" w:type="dxa"/>
              <w:left w:w="5" w:type="dxa"/>
              <w:bottom w:w="5" w:type="dxa"/>
              <w:right w:w="5" w:type="dxa"/>
            </w:tcMar>
            <w:vAlign w:val="bottom"/>
            <w:hideMark/>
          </w:tcPr>
          <w:p w14:paraId="2865DC1C" w14:textId="77777777" w:rsidR="00C820B8" w:rsidRPr="0064652A" w:rsidRDefault="008D7FC6">
            <w:pPr>
              <w:rPr>
                <w:color w:val="000000"/>
                <w:sz w:val="20"/>
                <w:szCs w:val="20"/>
              </w:rPr>
            </w:pPr>
            <w:r w:rsidRPr="0064652A">
              <w:rPr>
                <w:color w:val="000000"/>
                <w:sz w:val="20"/>
                <w:szCs w:val="20"/>
              </w:rPr>
              <w:t> </w:t>
            </w:r>
          </w:p>
        </w:tc>
        <w:tc>
          <w:tcPr>
            <w:tcW w:w="25" w:type="pct"/>
            <w:gridSpan w:val="2"/>
            <w:tcMar>
              <w:top w:w="5" w:type="dxa"/>
              <w:left w:w="5" w:type="dxa"/>
              <w:bottom w:w="5" w:type="dxa"/>
              <w:right w:w="5" w:type="dxa"/>
            </w:tcMar>
            <w:vAlign w:val="bottom"/>
            <w:hideMark/>
          </w:tcPr>
          <w:p w14:paraId="66B9DC49" w14:textId="77777777" w:rsidR="00C820B8" w:rsidRPr="0064652A" w:rsidRDefault="008D7FC6">
            <w:pPr>
              <w:rPr>
                <w:color w:val="000000"/>
                <w:sz w:val="20"/>
                <w:szCs w:val="20"/>
              </w:rPr>
            </w:pPr>
            <w:r w:rsidRPr="0064652A">
              <w:rPr>
                <w:color w:val="000000"/>
                <w:sz w:val="20"/>
                <w:szCs w:val="20"/>
              </w:rPr>
              <w:t> </w:t>
            </w:r>
          </w:p>
        </w:tc>
      </w:tr>
      <w:tr w:rsidR="00C820B8" w:rsidRPr="0064652A" w14:paraId="5CE716E3" w14:textId="77777777">
        <w:trPr>
          <w:jc w:val="center"/>
        </w:trPr>
        <w:tc>
          <w:tcPr>
            <w:tcW w:w="1390" w:type="pct"/>
            <w:tcMar>
              <w:top w:w="5" w:type="dxa"/>
              <w:left w:w="5" w:type="dxa"/>
              <w:bottom w:w="5" w:type="dxa"/>
              <w:right w:w="5" w:type="dxa"/>
            </w:tcMar>
            <w:vAlign w:val="bottom"/>
            <w:hideMark/>
          </w:tcPr>
          <w:p w14:paraId="016A72B0" w14:textId="77777777" w:rsidR="00C820B8" w:rsidRPr="0064652A" w:rsidRDefault="008D7FC6">
            <w:pPr>
              <w:rPr>
                <w:color w:val="000000"/>
                <w:sz w:val="20"/>
                <w:szCs w:val="20"/>
              </w:rPr>
            </w:pPr>
            <w:r w:rsidRPr="0064652A">
              <w:rPr>
                <w:color w:val="000000"/>
                <w:sz w:val="20"/>
                <w:szCs w:val="20"/>
              </w:rPr>
              <w:t> </w:t>
            </w:r>
          </w:p>
        </w:tc>
        <w:tc>
          <w:tcPr>
            <w:tcW w:w="45" w:type="pct"/>
            <w:tcMar>
              <w:top w:w="5" w:type="dxa"/>
              <w:left w:w="5" w:type="dxa"/>
              <w:bottom w:w="5" w:type="dxa"/>
              <w:right w:w="5" w:type="dxa"/>
            </w:tcMar>
            <w:vAlign w:val="bottom"/>
            <w:hideMark/>
          </w:tcPr>
          <w:p w14:paraId="6BBE80A3" w14:textId="77777777" w:rsidR="00C820B8" w:rsidRPr="0064652A" w:rsidRDefault="008D7FC6">
            <w:pPr>
              <w:rPr>
                <w:color w:val="000000"/>
                <w:sz w:val="20"/>
                <w:szCs w:val="20"/>
              </w:rPr>
            </w:pPr>
            <w:r w:rsidRPr="0064652A">
              <w:rPr>
                <w:color w:val="000000"/>
                <w:sz w:val="20"/>
                <w:szCs w:val="20"/>
              </w:rPr>
              <w:t>By:</w:t>
            </w:r>
          </w:p>
        </w:tc>
        <w:tc>
          <w:tcPr>
            <w:tcW w:w="25" w:type="pct"/>
            <w:tcMar>
              <w:top w:w="5" w:type="dxa"/>
              <w:left w:w="5" w:type="dxa"/>
              <w:bottom w:w="5" w:type="dxa"/>
              <w:right w:w="5" w:type="dxa"/>
            </w:tcMar>
            <w:vAlign w:val="bottom"/>
            <w:hideMark/>
          </w:tcPr>
          <w:p w14:paraId="0659CE9F" w14:textId="77777777" w:rsidR="00C820B8" w:rsidRPr="0064652A" w:rsidRDefault="008D7FC6">
            <w:pPr>
              <w:rPr>
                <w:color w:val="000000"/>
                <w:sz w:val="20"/>
                <w:szCs w:val="20"/>
              </w:rPr>
            </w:pPr>
            <w:r w:rsidRPr="0064652A">
              <w:rPr>
                <w:color w:val="000000"/>
                <w:sz w:val="20"/>
                <w:szCs w:val="20"/>
              </w:rPr>
              <w:t> </w:t>
            </w:r>
          </w:p>
        </w:tc>
        <w:tc>
          <w:tcPr>
            <w:tcW w:w="855" w:type="pct"/>
            <w:tcBorders>
              <w:bottom w:val="single" w:sz="6" w:space="0" w:color="000000"/>
            </w:tcBorders>
            <w:tcMar>
              <w:top w:w="5" w:type="dxa"/>
              <w:left w:w="5" w:type="dxa"/>
              <w:bottom w:w="8" w:type="dxa"/>
              <w:right w:w="5" w:type="dxa"/>
            </w:tcMar>
            <w:vAlign w:val="bottom"/>
            <w:hideMark/>
          </w:tcPr>
          <w:p w14:paraId="3E584F4D" w14:textId="77777777" w:rsidR="00C820B8" w:rsidRPr="0064652A" w:rsidRDefault="008D7FC6">
            <w:pPr>
              <w:rPr>
                <w:color w:val="000000"/>
                <w:sz w:val="20"/>
                <w:szCs w:val="20"/>
              </w:rPr>
            </w:pPr>
            <w:r w:rsidRPr="0064652A">
              <w:rPr>
                <w:color w:val="000000"/>
                <w:sz w:val="20"/>
                <w:szCs w:val="20"/>
              </w:rPr>
              <w:t>/s/ Richard Li</w:t>
            </w:r>
          </w:p>
        </w:tc>
      </w:tr>
      <w:tr w:rsidR="00C820B8" w:rsidRPr="0064652A" w14:paraId="2DD3167A" w14:textId="77777777">
        <w:trPr>
          <w:jc w:val="center"/>
        </w:trPr>
        <w:tc>
          <w:tcPr>
            <w:tcW w:w="1390" w:type="pct"/>
            <w:tcMar>
              <w:top w:w="5" w:type="dxa"/>
              <w:left w:w="5" w:type="dxa"/>
              <w:bottom w:w="5" w:type="dxa"/>
              <w:right w:w="5" w:type="dxa"/>
            </w:tcMar>
            <w:vAlign w:val="bottom"/>
            <w:hideMark/>
          </w:tcPr>
          <w:p w14:paraId="2865DB1B" w14:textId="77777777" w:rsidR="00C820B8" w:rsidRPr="0064652A" w:rsidRDefault="008D7FC6">
            <w:pPr>
              <w:rPr>
                <w:color w:val="000000"/>
                <w:sz w:val="20"/>
                <w:szCs w:val="20"/>
              </w:rPr>
            </w:pPr>
            <w:r w:rsidRPr="0064652A">
              <w:rPr>
                <w:color w:val="000000"/>
                <w:sz w:val="20"/>
                <w:szCs w:val="20"/>
              </w:rPr>
              <w:t> </w:t>
            </w:r>
          </w:p>
        </w:tc>
        <w:tc>
          <w:tcPr>
            <w:tcW w:w="45" w:type="pct"/>
            <w:tcMar>
              <w:top w:w="5" w:type="dxa"/>
              <w:left w:w="5" w:type="dxa"/>
              <w:bottom w:w="5" w:type="dxa"/>
              <w:right w:w="5" w:type="dxa"/>
            </w:tcMar>
            <w:vAlign w:val="bottom"/>
            <w:hideMark/>
          </w:tcPr>
          <w:p w14:paraId="66937013" w14:textId="77777777" w:rsidR="00C820B8" w:rsidRPr="0064652A" w:rsidRDefault="008D7FC6">
            <w:pPr>
              <w:rPr>
                <w:color w:val="000000"/>
                <w:sz w:val="20"/>
                <w:szCs w:val="20"/>
              </w:rPr>
            </w:pPr>
            <w:r w:rsidRPr="0064652A">
              <w:rPr>
                <w:color w:val="000000"/>
                <w:sz w:val="20"/>
                <w:szCs w:val="20"/>
              </w:rPr>
              <w:t> </w:t>
            </w:r>
          </w:p>
        </w:tc>
        <w:tc>
          <w:tcPr>
            <w:tcW w:w="25" w:type="pct"/>
            <w:tcMar>
              <w:top w:w="5" w:type="dxa"/>
              <w:left w:w="5" w:type="dxa"/>
              <w:bottom w:w="5" w:type="dxa"/>
              <w:right w:w="5" w:type="dxa"/>
            </w:tcMar>
            <w:vAlign w:val="bottom"/>
            <w:hideMark/>
          </w:tcPr>
          <w:p w14:paraId="413F7DDE" w14:textId="77777777" w:rsidR="00C820B8" w:rsidRPr="0064652A" w:rsidRDefault="008D7FC6">
            <w:pPr>
              <w:rPr>
                <w:color w:val="000000"/>
                <w:sz w:val="20"/>
                <w:szCs w:val="20"/>
              </w:rPr>
            </w:pPr>
            <w:r w:rsidRPr="0064652A">
              <w:rPr>
                <w:color w:val="000000"/>
                <w:sz w:val="20"/>
                <w:szCs w:val="20"/>
              </w:rPr>
              <w:t> </w:t>
            </w:r>
          </w:p>
        </w:tc>
        <w:tc>
          <w:tcPr>
            <w:tcW w:w="855" w:type="pct"/>
            <w:tcMar>
              <w:top w:w="5" w:type="dxa"/>
              <w:left w:w="5" w:type="dxa"/>
              <w:bottom w:w="5" w:type="dxa"/>
              <w:right w:w="5" w:type="dxa"/>
            </w:tcMar>
            <w:vAlign w:val="bottom"/>
            <w:hideMark/>
          </w:tcPr>
          <w:p w14:paraId="3BCC75E1" w14:textId="77777777" w:rsidR="00C820B8" w:rsidRPr="0064652A" w:rsidRDefault="008D7FC6">
            <w:pPr>
              <w:rPr>
                <w:color w:val="000000"/>
                <w:sz w:val="20"/>
                <w:szCs w:val="20"/>
              </w:rPr>
            </w:pPr>
            <w:r w:rsidRPr="0064652A">
              <w:rPr>
                <w:color w:val="000000"/>
                <w:sz w:val="20"/>
                <w:szCs w:val="20"/>
              </w:rPr>
              <w:t>Richard Li</w:t>
            </w:r>
          </w:p>
        </w:tc>
      </w:tr>
      <w:tr w:rsidR="00C820B8" w:rsidRPr="0064652A" w14:paraId="34C66F28" w14:textId="77777777">
        <w:trPr>
          <w:jc w:val="center"/>
        </w:trPr>
        <w:tc>
          <w:tcPr>
            <w:tcW w:w="1390" w:type="pct"/>
            <w:tcMar>
              <w:top w:w="5" w:type="dxa"/>
              <w:left w:w="5" w:type="dxa"/>
              <w:bottom w:w="5" w:type="dxa"/>
              <w:right w:w="5" w:type="dxa"/>
            </w:tcMar>
            <w:vAlign w:val="bottom"/>
            <w:hideMark/>
          </w:tcPr>
          <w:p w14:paraId="161202B7" w14:textId="77777777" w:rsidR="00C820B8" w:rsidRPr="0064652A" w:rsidRDefault="008D7FC6">
            <w:pPr>
              <w:rPr>
                <w:color w:val="000000"/>
                <w:sz w:val="20"/>
                <w:szCs w:val="20"/>
              </w:rPr>
            </w:pPr>
            <w:r w:rsidRPr="0064652A">
              <w:rPr>
                <w:color w:val="000000"/>
                <w:sz w:val="20"/>
                <w:szCs w:val="20"/>
              </w:rPr>
              <w:t> </w:t>
            </w:r>
          </w:p>
        </w:tc>
        <w:tc>
          <w:tcPr>
            <w:tcW w:w="45" w:type="pct"/>
            <w:tcMar>
              <w:top w:w="5" w:type="dxa"/>
              <w:left w:w="5" w:type="dxa"/>
              <w:bottom w:w="5" w:type="dxa"/>
              <w:right w:w="5" w:type="dxa"/>
            </w:tcMar>
            <w:vAlign w:val="bottom"/>
            <w:hideMark/>
          </w:tcPr>
          <w:p w14:paraId="4BFEE964" w14:textId="77777777" w:rsidR="00C820B8" w:rsidRPr="0064652A" w:rsidRDefault="008D7FC6">
            <w:pPr>
              <w:rPr>
                <w:color w:val="000000"/>
                <w:sz w:val="20"/>
                <w:szCs w:val="20"/>
              </w:rPr>
            </w:pPr>
            <w:r w:rsidRPr="0064652A">
              <w:rPr>
                <w:color w:val="000000"/>
                <w:sz w:val="20"/>
                <w:szCs w:val="20"/>
              </w:rPr>
              <w:t> </w:t>
            </w:r>
          </w:p>
        </w:tc>
        <w:tc>
          <w:tcPr>
            <w:tcW w:w="25" w:type="pct"/>
            <w:tcMar>
              <w:top w:w="5" w:type="dxa"/>
              <w:left w:w="5" w:type="dxa"/>
              <w:bottom w:w="5" w:type="dxa"/>
              <w:right w:w="5" w:type="dxa"/>
            </w:tcMar>
            <w:vAlign w:val="bottom"/>
            <w:hideMark/>
          </w:tcPr>
          <w:p w14:paraId="0D4C830A" w14:textId="77777777" w:rsidR="00C820B8" w:rsidRPr="0064652A" w:rsidRDefault="008D7FC6">
            <w:pPr>
              <w:rPr>
                <w:color w:val="000000"/>
                <w:sz w:val="20"/>
                <w:szCs w:val="20"/>
              </w:rPr>
            </w:pPr>
            <w:r w:rsidRPr="0064652A">
              <w:rPr>
                <w:color w:val="000000"/>
                <w:sz w:val="20"/>
                <w:szCs w:val="20"/>
              </w:rPr>
              <w:t> </w:t>
            </w:r>
          </w:p>
        </w:tc>
        <w:tc>
          <w:tcPr>
            <w:tcW w:w="855" w:type="pct"/>
            <w:tcMar>
              <w:top w:w="5" w:type="dxa"/>
              <w:left w:w="5" w:type="dxa"/>
              <w:bottom w:w="5" w:type="dxa"/>
              <w:right w:w="5" w:type="dxa"/>
            </w:tcMar>
            <w:vAlign w:val="bottom"/>
            <w:hideMark/>
          </w:tcPr>
          <w:p w14:paraId="4B4BC4B7" w14:textId="77777777" w:rsidR="00C820B8" w:rsidRPr="0064652A" w:rsidRDefault="008D7FC6">
            <w:pPr>
              <w:rPr>
                <w:color w:val="000000"/>
                <w:sz w:val="20"/>
                <w:szCs w:val="20"/>
              </w:rPr>
            </w:pPr>
            <w:r w:rsidRPr="0064652A">
              <w:rPr>
                <w:color w:val="000000"/>
                <w:sz w:val="20"/>
                <w:szCs w:val="20"/>
              </w:rPr>
              <w:t>Chief Financial Officer</w:t>
            </w:r>
          </w:p>
        </w:tc>
      </w:tr>
    </w:tbl>
    <w:p w14:paraId="3BA320BB" w14:textId="77777777" w:rsidR="00C820B8" w:rsidRPr="0064652A" w:rsidRDefault="008D7FC6">
      <w:pPr>
        <w:rPr>
          <w:sz w:val="20"/>
          <w:szCs w:val="20"/>
        </w:rPr>
      </w:pPr>
      <w:r w:rsidRPr="0064652A">
        <w:rPr>
          <w:sz w:val="20"/>
          <w:szCs w:val="20"/>
        </w:rPr>
        <w:t> </w:t>
      </w:r>
    </w:p>
    <w:p w14:paraId="7C2B7F8B" w14:textId="77777777" w:rsidR="00C820B8" w:rsidRPr="0064652A" w:rsidRDefault="008D7FC6">
      <w:pPr>
        <w:rPr>
          <w:sz w:val="20"/>
          <w:szCs w:val="20"/>
        </w:rPr>
      </w:pPr>
      <w:r w:rsidRPr="0064652A">
        <w:rPr>
          <w:sz w:val="20"/>
          <w:szCs w:val="20"/>
        </w:rPr>
        <w:t> </w:t>
      </w:r>
    </w:p>
    <w:p w14:paraId="2BC900FE" w14:textId="77777777" w:rsidR="00C820B8" w:rsidRPr="0064652A" w:rsidRDefault="008D7FC6">
      <w:pPr>
        <w:rPr>
          <w:sz w:val="20"/>
          <w:szCs w:val="20"/>
        </w:rPr>
      </w:pPr>
      <w:r w:rsidRPr="0064652A">
        <w:rPr>
          <w:sz w:val="20"/>
          <w:szCs w:val="20"/>
        </w:rPr>
        <w:t>The foregoing certification is being furnished solely pursuant to Section 906 of the Sarbanes-Oxley Act of 2002 (subsections (a) and (b) of Section 1350, Chapter 63 of Title 18, United States Code) and is not being filed as part of the Form 10-Q or as a separate disclosure document.</w:t>
      </w:r>
    </w:p>
    <w:p w14:paraId="5937CFBD" w14:textId="77777777" w:rsidR="00C820B8" w:rsidRPr="0064652A" w:rsidRDefault="008D7FC6">
      <w:pPr>
        <w:rPr>
          <w:sz w:val="20"/>
          <w:szCs w:val="20"/>
        </w:rPr>
      </w:pPr>
      <w:r w:rsidRPr="0064652A">
        <w:rPr>
          <w:sz w:val="20"/>
          <w:szCs w:val="20"/>
        </w:rPr>
        <w:t> </w:t>
      </w:r>
    </w:p>
    <w:p w14:paraId="4D2959BB" w14:textId="77777777" w:rsidR="00C820B8" w:rsidRDefault="008D7FC6">
      <w:pPr>
        <w:rPr>
          <w:sz w:val="20"/>
          <w:szCs w:val="20"/>
        </w:rPr>
      </w:pPr>
      <w:r w:rsidRPr="0064652A">
        <w:rPr>
          <w:sz w:val="20"/>
          <w:szCs w:val="20"/>
        </w:rPr>
        <w:t>A signed original of this written statement required by Section 906, or other document authenticating, acknowledging, or otherwise adopting the signature that appears in typed form within the electronic version of this written statement required by Section 906, has been provided to Emerson Radio Corp. and will be retained by Emerson Radio Corp. and furnished to the Securities and Exchange Commission or its staff upon request.</w:t>
      </w:r>
    </w:p>
    <w:p w14:paraId="46642D21" w14:textId="77777777" w:rsidR="00C820B8" w:rsidRDefault="008D7FC6">
      <w:pPr>
        <w:rPr>
          <w:sz w:val="20"/>
          <w:szCs w:val="20"/>
        </w:rPr>
      </w:pPr>
      <w:r>
        <w:rPr>
          <w:sz w:val="20"/>
          <w:szCs w:val="20"/>
        </w:rPr>
        <w:t> </w:t>
      </w:r>
    </w:p>
    <w:p w14:paraId="0C242ECC" w14:textId="77777777" w:rsidR="00C820B8" w:rsidRDefault="008D7FC6">
      <w:r>
        <w:t> </w:t>
      </w:r>
    </w:p>
    <w:sectPr w:rsidR="00C820B8">
      <w:pgSz w:w="12240" w:h="15840"/>
      <w:pgMar w:top="576" w:right="720" w:bottom="576" w:left="720" w:header="144"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eiryo UI">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B8"/>
    <w:rsid w:val="002C1B0F"/>
    <w:rsid w:val="0064652A"/>
    <w:rsid w:val="006A49D5"/>
    <w:rsid w:val="008D7FC6"/>
    <w:rsid w:val="00A5789C"/>
    <w:rsid w:val="00C820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0189"/>
  <w15:docId w15:val="{35EC7F96-8CB0-4F10-B147-12A15758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b/>
      <w:bCs/>
      <w:kern w:val="36"/>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s">
    <w:name w:val="ins"/>
    <w:basedOn w:val="a0"/>
  </w:style>
  <w:style w:type="table" w:customStyle="1" w:styleId="finTable">
    <w:name w:val="finTable"/>
    <w:basedOn w:val="a1"/>
    <w:tblPr/>
  </w:style>
  <w:style w:type="character" w:customStyle="1" w:styleId="del">
    <w:name w:val="del"/>
    <w:basedOn w:val="a0"/>
  </w:style>
  <w:style w:type="paragraph" w:styleId="a3">
    <w:name w:val="Body Text"/>
    <w:basedOn w:val="a"/>
    <w:link w:val="a4"/>
    <w:uiPriority w:val="1"/>
    <w:qFormat/>
    <w:rsid w:val="00A5789C"/>
    <w:pPr>
      <w:widowControl w:val="0"/>
      <w:autoSpaceDE w:val="0"/>
      <w:autoSpaceDN w:val="0"/>
    </w:pPr>
    <w:rPr>
      <w:rFonts w:eastAsia="Times New Roman"/>
      <w:sz w:val="20"/>
      <w:szCs w:val="20"/>
    </w:rPr>
  </w:style>
  <w:style w:type="character" w:customStyle="1" w:styleId="a4">
    <w:name w:val="本文 字元"/>
    <w:basedOn w:val="a0"/>
    <w:link w:val="a3"/>
    <w:uiPriority w:val="1"/>
    <w:rsid w:val="00A5789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dg-iis\proofapi\App_Data\ex_607199.htm" TargetMode="External"/><Relationship Id="rId3" Type="http://schemas.openxmlformats.org/officeDocument/2006/relationships/webSettings" Target="webSettings.xml"/><Relationship Id="rId7" Type="http://schemas.openxmlformats.org/officeDocument/2006/relationships/hyperlink" Target="file:///C:\rdg-iis\proofapi\App_Data\ex_60719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rdg-iis\proofapi\App_Data\ex_607197.htm" TargetMode="External"/><Relationship Id="rId5" Type="http://schemas.openxmlformats.org/officeDocument/2006/relationships/hyperlink" Target="http://www.sec.gov/Archives/edgar/data/0000032621/000095012308001713/y48755exv3w1.ht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13777</Words>
  <Characters>78535</Characters>
  <Application>Microsoft Office Word</Application>
  <DocSecurity>0</DocSecurity>
  <Lines>654</Lines>
  <Paragraphs>184</Paragraphs>
  <ScaleCrop>false</ScaleCrop>
  <Company/>
  <LinksUpToDate>false</LinksUpToDate>
  <CharactersWithSpaces>92128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msn20231231_10q.htm</dc:title>
  <dc:creator>Paul McLaughlin</dc:creator>
  <cp:lastModifiedBy>User</cp:lastModifiedBy>
  <cp:revision>4</cp:revision>
  <cp:lastPrinted>2024-02-20T06:35:00Z</cp:lastPrinted>
  <dcterms:created xsi:type="dcterms:W3CDTF">2024-02-20T06:56:00Z</dcterms:created>
  <dcterms:modified xsi:type="dcterms:W3CDTF">2024-02-20T07:28:00Z</dcterms:modified>
</cp:coreProperties>
</file>