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678E" w14:textId="77777777" w:rsidR="00B929F4" w:rsidRDefault="00000000">
      <w:pPr>
        <w:pStyle w:val="BodyText"/>
        <w:spacing w:before="78" w:line="252" w:lineRule="auto"/>
        <w:ind w:left="100" w:right="118"/>
        <w:jc w:val="both"/>
      </w:pPr>
      <w:r>
        <w:t>Hong</w:t>
      </w:r>
      <w:r>
        <w:rPr>
          <w:spacing w:val="-3"/>
        </w:rPr>
        <w:t xml:space="preserve"> </w:t>
      </w:r>
      <w:r>
        <w:t>Kong</w:t>
      </w:r>
      <w:r>
        <w:rPr>
          <w:spacing w:val="-3"/>
        </w:rPr>
        <w:t xml:space="preserve"> </w:t>
      </w:r>
      <w:r>
        <w:t>Exchanges</w:t>
      </w:r>
      <w:r>
        <w:rPr>
          <w:spacing w:val="-2"/>
        </w:rPr>
        <w:t xml:space="preserve"> </w:t>
      </w:r>
      <w:r>
        <w:t>and</w:t>
      </w:r>
      <w:r>
        <w:rPr>
          <w:spacing w:val="-2"/>
        </w:rPr>
        <w:t xml:space="preserve"> </w:t>
      </w:r>
      <w:r>
        <w:t>Clearing</w:t>
      </w:r>
      <w:r>
        <w:rPr>
          <w:spacing w:val="-2"/>
        </w:rPr>
        <w:t xml:space="preserve"> </w:t>
      </w:r>
      <w:r>
        <w:t>Limited</w:t>
      </w:r>
      <w:r>
        <w:rPr>
          <w:spacing w:val="-2"/>
        </w:rPr>
        <w:t xml:space="preserve"> </w:t>
      </w:r>
      <w:r>
        <w:t>and</w:t>
      </w:r>
      <w:r>
        <w:rPr>
          <w:spacing w:val="-2"/>
        </w:rPr>
        <w:t xml:space="preserve"> </w:t>
      </w:r>
      <w:r>
        <w:t>The</w:t>
      </w:r>
      <w:r>
        <w:rPr>
          <w:spacing w:val="-3"/>
        </w:rPr>
        <w:t xml:space="preserve"> </w:t>
      </w:r>
      <w:r>
        <w:t>Stock</w:t>
      </w:r>
      <w:r>
        <w:rPr>
          <w:spacing w:val="-4"/>
        </w:rPr>
        <w:t xml:space="preserve"> </w:t>
      </w:r>
      <w:r>
        <w:t>Exchange</w:t>
      </w:r>
      <w:r>
        <w:rPr>
          <w:spacing w:val="-1"/>
        </w:rPr>
        <w:t xml:space="preserve"> </w:t>
      </w:r>
      <w:r>
        <w:t>of</w:t>
      </w:r>
      <w:r>
        <w:rPr>
          <w:spacing w:val="-2"/>
        </w:rPr>
        <w:t xml:space="preserve"> </w:t>
      </w:r>
      <w:r>
        <w:t>Hong</w:t>
      </w:r>
      <w:r>
        <w:rPr>
          <w:spacing w:val="-2"/>
        </w:rPr>
        <w:t xml:space="preserve"> </w:t>
      </w:r>
      <w:r>
        <w:t>Kong</w:t>
      </w:r>
      <w:r>
        <w:rPr>
          <w:spacing w:val="-2"/>
        </w:rPr>
        <w:t xml:space="preserve"> </w:t>
      </w:r>
      <w:r>
        <w:t>Limited</w:t>
      </w:r>
      <w:r>
        <w:rPr>
          <w:spacing w:val="-2"/>
        </w:rPr>
        <w:t xml:space="preserve"> </w:t>
      </w:r>
      <w:r>
        <w:t>take</w:t>
      </w:r>
      <w:r>
        <w:rPr>
          <w:spacing w:val="-4"/>
        </w:rPr>
        <w:t xml:space="preserve"> </w:t>
      </w:r>
      <w:r>
        <w:t>no responsibility for the contents of this notice, make no representation as to its accuracy or completeness and expressly disclaim any liability whatsoever for any loss howsoever arising from or in reliance upon the whole or any part of the contents of this notice.</w:t>
      </w:r>
    </w:p>
    <w:p w14:paraId="0F3D678F" w14:textId="77777777" w:rsidR="00B929F4" w:rsidRDefault="00000000">
      <w:pPr>
        <w:pStyle w:val="BodyText"/>
        <w:spacing w:before="6"/>
        <w:rPr>
          <w:sz w:val="25"/>
        </w:rPr>
      </w:pPr>
      <w:r>
        <w:rPr>
          <w:noProof/>
        </w:rPr>
        <w:drawing>
          <wp:anchor distT="0" distB="0" distL="0" distR="0" simplePos="0" relativeHeight="251658240" behindDoc="0" locked="0" layoutInCell="1" allowOverlap="1" wp14:anchorId="0F3D67AE" wp14:editId="0F3D67AF">
            <wp:simplePos x="0" y="0"/>
            <wp:positionH relativeFrom="page">
              <wp:posOffset>977668</wp:posOffset>
            </wp:positionH>
            <wp:positionV relativeFrom="paragraph">
              <wp:posOffset>201664</wp:posOffset>
            </wp:positionV>
            <wp:extent cx="5671066" cy="144484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671066" cy="1444847"/>
                    </a:xfrm>
                    <a:prstGeom prst="rect">
                      <a:avLst/>
                    </a:prstGeom>
                  </pic:spPr>
                </pic:pic>
              </a:graphicData>
            </a:graphic>
          </wp:anchor>
        </w:drawing>
      </w:r>
    </w:p>
    <w:p w14:paraId="0F3D6790" w14:textId="77777777" w:rsidR="00B929F4" w:rsidRDefault="00B929F4">
      <w:pPr>
        <w:pStyle w:val="BodyText"/>
        <w:spacing w:before="1"/>
        <w:rPr>
          <w:sz w:val="35"/>
        </w:rPr>
      </w:pPr>
    </w:p>
    <w:p w14:paraId="0F3D6791" w14:textId="77777777" w:rsidR="00B929F4" w:rsidRDefault="00000000">
      <w:pPr>
        <w:pStyle w:val="Heading1"/>
      </w:pPr>
      <w:r>
        <w:t>NOTICE</w:t>
      </w:r>
      <w:r>
        <w:rPr>
          <w:spacing w:val="-6"/>
        </w:rPr>
        <w:t xml:space="preserve"> </w:t>
      </w:r>
      <w:r>
        <w:t>OF</w:t>
      </w:r>
      <w:r>
        <w:rPr>
          <w:spacing w:val="-8"/>
        </w:rPr>
        <w:t xml:space="preserve"> </w:t>
      </w:r>
      <w:r>
        <w:t>BOARD</w:t>
      </w:r>
      <w:r>
        <w:rPr>
          <w:spacing w:val="-5"/>
        </w:rPr>
        <w:t xml:space="preserve"> </w:t>
      </w:r>
      <w:r>
        <w:rPr>
          <w:spacing w:val="-2"/>
        </w:rPr>
        <w:t>MEETING</w:t>
      </w:r>
    </w:p>
    <w:p w14:paraId="0F3D6792" w14:textId="77777777" w:rsidR="00B929F4" w:rsidRDefault="00B929F4">
      <w:pPr>
        <w:pStyle w:val="BodyText"/>
        <w:spacing w:before="1"/>
        <w:rPr>
          <w:b/>
          <w:i w:val="0"/>
          <w:sz w:val="26"/>
        </w:rPr>
      </w:pPr>
    </w:p>
    <w:p w14:paraId="0F3D6793" w14:textId="4A8220F1" w:rsidR="00B929F4" w:rsidRDefault="00000000">
      <w:pPr>
        <w:spacing w:line="252" w:lineRule="auto"/>
        <w:ind w:left="100" w:right="114"/>
        <w:jc w:val="both"/>
        <w:rPr>
          <w:sz w:val="24"/>
        </w:rPr>
      </w:pPr>
      <w:r>
        <w:rPr>
          <w:sz w:val="24"/>
        </w:rPr>
        <w:t>The board of directors (the “</w:t>
      </w:r>
      <w:r>
        <w:rPr>
          <w:b/>
          <w:sz w:val="24"/>
        </w:rPr>
        <w:t>Board</w:t>
      </w:r>
      <w:r>
        <w:rPr>
          <w:sz w:val="24"/>
        </w:rPr>
        <w:t>”) of China Coal Energy Company Limited (the “</w:t>
      </w:r>
      <w:r>
        <w:rPr>
          <w:b/>
          <w:sz w:val="24"/>
        </w:rPr>
        <w:t>Company</w:t>
      </w:r>
      <w:r>
        <w:rPr>
          <w:sz w:val="24"/>
        </w:rPr>
        <w:t xml:space="preserve">”) hereby announces that a meeting of the Board will be held on Thursday, </w:t>
      </w:r>
      <w:r>
        <w:t>2</w:t>
      </w:r>
      <w:r w:rsidR="008D0FFF">
        <w:t>4</w:t>
      </w:r>
      <w:r>
        <w:t xml:space="preserve"> August </w:t>
      </w:r>
      <w:r>
        <w:rPr>
          <w:sz w:val="24"/>
        </w:rPr>
        <w:t>202</w:t>
      </w:r>
      <w:r w:rsidR="008D0FFF">
        <w:rPr>
          <w:sz w:val="24"/>
        </w:rPr>
        <w:t>3</w:t>
      </w:r>
      <w:r>
        <w:rPr>
          <w:sz w:val="24"/>
        </w:rPr>
        <w:t>, for the purpose of, considering and approving, among other matters, the interim results of the Group (comprising the Company and its subsidiaries) for the six months ended 30 June 202</w:t>
      </w:r>
      <w:r w:rsidR="008D0FFF">
        <w:rPr>
          <w:sz w:val="24"/>
        </w:rPr>
        <w:t>3</w:t>
      </w:r>
      <w:r>
        <w:rPr>
          <w:sz w:val="24"/>
        </w:rPr>
        <w:t>.</w:t>
      </w:r>
    </w:p>
    <w:p w14:paraId="0F3D6794" w14:textId="77777777" w:rsidR="00B929F4" w:rsidRDefault="00B929F4">
      <w:pPr>
        <w:pStyle w:val="BodyText"/>
        <w:rPr>
          <w:i w:val="0"/>
          <w:sz w:val="26"/>
        </w:rPr>
      </w:pPr>
    </w:p>
    <w:p w14:paraId="0F3D6795" w14:textId="77777777" w:rsidR="00B929F4" w:rsidRDefault="00B929F4">
      <w:pPr>
        <w:pStyle w:val="BodyText"/>
        <w:spacing w:before="3"/>
        <w:rPr>
          <w:i w:val="0"/>
        </w:rPr>
      </w:pPr>
    </w:p>
    <w:p w14:paraId="0F3D6796" w14:textId="77777777" w:rsidR="00B929F4" w:rsidRDefault="00000000">
      <w:pPr>
        <w:spacing w:before="1"/>
        <w:ind w:left="5181" w:right="880"/>
        <w:jc w:val="center"/>
        <w:rPr>
          <w:sz w:val="24"/>
        </w:rPr>
      </w:pPr>
      <w:r>
        <w:rPr>
          <w:sz w:val="24"/>
        </w:rPr>
        <w:t>By</w:t>
      </w:r>
      <w:r>
        <w:rPr>
          <w:spacing w:val="-6"/>
          <w:sz w:val="24"/>
        </w:rPr>
        <w:t xml:space="preserve"> </w:t>
      </w:r>
      <w:r>
        <w:rPr>
          <w:sz w:val="24"/>
        </w:rPr>
        <w:t>Order of</w:t>
      </w:r>
      <w:r>
        <w:rPr>
          <w:spacing w:val="-3"/>
          <w:sz w:val="24"/>
        </w:rPr>
        <w:t xml:space="preserve"> </w:t>
      </w:r>
      <w:r>
        <w:rPr>
          <w:sz w:val="24"/>
        </w:rPr>
        <w:t>the</w:t>
      </w:r>
      <w:r>
        <w:rPr>
          <w:spacing w:val="1"/>
          <w:sz w:val="24"/>
        </w:rPr>
        <w:t xml:space="preserve"> </w:t>
      </w:r>
      <w:r>
        <w:rPr>
          <w:spacing w:val="-4"/>
          <w:sz w:val="24"/>
        </w:rPr>
        <w:t>Board</w:t>
      </w:r>
    </w:p>
    <w:p w14:paraId="0F3D6797" w14:textId="77777777" w:rsidR="00B929F4" w:rsidRDefault="00000000">
      <w:pPr>
        <w:pStyle w:val="Heading1"/>
        <w:spacing w:before="16" w:line="252" w:lineRule="auto"/>
        <w:ind w:left="5182"/>
      </w:pPr>
      <w:r>
        <w:t>China</w:t>
      </w:r>
      <w:r>
        <w:rPr>
          <w:spacing w:val="-10"/>
        </w:rPr>
        <w:t xml:space="preserve"> </w:t>
      </w:r>
      <w:r>
        <w:t>Coal</w:t>
      </w:r>
      <w:r>
        <w:rPr>
          <w:spacing w:val="-10"/>
        </w:rPr>
        <w:t xml:space="preserve"> </w:t>
      </w:r>
      <w:r>
        <w:t>Energy</w:t>
      </w:r>
      <w:r>
        <w:rPr>
          <w:spacing w:val="-10"/>
        </w:rPr>
        <w:t xml:space="preserve"> </w:t>
      </w:r>
      <w:r>
        <w:t>Company</w:t>
      </w:r>
      <w:r>
        <w:rPr>
          <w:spacing w:val="-10"/>
        </w:rPr>
        <w:t xml:space="preserve"> </w:t>
      </w:r>
      <w:r>
        <w:t xml:space="preserve">Limited Wang </w:t>
      </w:r>
      <w:proofErr w:type="spellStart"/>
      <w:r>
        <w:t>Shudong</w:t>
      </w:r>
      <w:proofErr w:type="spellEnd"/>
    </w:p>
    <w:p w14:paraId="0F3D6798" w14:textId="51FF1DED" w:rsidR="00B929F4" w:rsidRDefault="00000000">
      <w:pPr>
        <w:pStyle w:val="BodyText"/>
        <w:spacing w:line="272" w:lineRule="exact"/>
        <w:ind w:left="5182" w:right="879"/>
        <w:jc w:val="center"/>
      </w:pPr>
      <w:r>
        <w:t>Chairman</w:t>
      </w:r>
      <w:r w:rsidR="008616D5">
        <w:t xml:space="preserve"> of the Board,</w:t>
      </w:r>
      <w:r>
        <w:rPr>
          <w:spacing w:val="-1"/>
        </w:rPr>
        <w:t xml:space="preserve"> </w:t>
      </w:r>
      <w:r>
        <w:t xml:space="preserve">Executive </w:t>
      </w:r>
      <w:r>
        <w:rPr>
          <w:spacing w:val="-2"/>
        </w:rPr>
        <w:t>Director</w:t>
      </w:r>
    </w:p>
    <w:p w14:paraId="0F3D6799" w14:textId="77777777" w:rsidR="00B929F4" w:rsidRDefault="00B929F4">
      <w:pPr>
        <w:pStyle w:val="BodyText"/>
        <w:rPr>
          <w:sz w:val="26"/>
        </w:rPr>
      </w:pPr>
    </w:p>
    <w:p w14:paraId="0F3D679A" w14:textId="77777777" w:rsidR="00B929F4" w:rsidRDefault="00B929F4">
      <w:pPr>
        <w:pStyle w:val="BodyText"/>
        <w:rPr>
          <w:sz w:val="26"/>
        </w:rPr>
      </w:pPr>
    </w:p>
    <w:p w14:paraId="0F3D679B" w14:textId="77777777" w:rsidR="00B929F4" w:rsidRDefault="00000000">
      <w:pPr>
        <w:spacing w:before="185"/>
        <w:ind w:left="100"/>
        <w:rPr>
          <w:sz w:val="24"/>
        </w:rPr>
      </w:pPr>
      <w:r>
        <w:rPr>
          <w:sz w:val="24"/>
        </w:rPr>
        <w:t>Beijing,</w:t>
      </w:r>
      <w:r w:rsidRPr="003B6922">
        <w:rPr>
          <w:sz w:val="24"/>
        </w:rPr>
        <w:t xml:space="preserve"> </w:t>
      </w:r>
      <w:r>
        <w:rPr>
          <w:sz w:val="24"/>
        </w:rPr>
        <w:t>the</w:t>
      </w:r>
      <w:r w:rsidRPr="003B6922">
        <w:rPr>
          <w:sz w:val="24"/>
        </w:rPr>
        <w:t xml:space="preserve"> PRC</w:t>
      </w:r>
    </w:p>
    <w:p w14:paraId="0F3D679C" w14:textId="0B9C096D" w:rsidR="00B929F4" w:rsidRDefault="0080239F">
      <w:pPr>
        <w:spacing w:before="132"/>
        <w:ind w:left="100"/>
        <w:rPr>
          <w:sz w:val="24"/>
        </w:rPr>
      </w:pPr>
      <w:r w:rsidRPr="003B6922">
        <w:rPr>
          <w:sz w:val="24"/>
        </w:rPr>
        <w:t xml:space="preserve">9 </w:t>
      </w:r>
      <w:r w:rsidRPr="003B6922">
        <w:rPr>
          <w:rFonts w:hint="eastAsia"/>
          <w:sz w:val="24"/>
        </w:rPr>
        <w:t>Au</w:t>
      </w:r>
      <w:r w:rsidRPr="003B6922">
        <w:rPr>
          <w:sz w:val="24"/>
        </w:rPr>
        <w:t>gust</w:t>
      </w:r>
      <w:r w:rsidR="00E32759" w:rsidRPr="003B6922">
        <w:rPr>
          <w:sz w:val="24"/>
        </w:rPr>
        <w:t xml:space="preserve"> 2023</w:t>
      </w:r>
    </w:p>
    <w:p w14:paraId="0F3D679D" w14:textId="77777777" w:rsidR="00B929F4" w:rsidRDefault="00B929F4">
      <w:pPr>
        <w:pStyle w:val="BodyText"/>
        <w:rPr>
          <w:i w:val="0"/>
          <w:sz w:val="26"/>
        </w:rPr>
      </w:pPr>
    </w:p>
    <w:p w14:paraId="0F3D679E" w14:textId="77777777" w:rsidR="00B929F4" w:rsidRDefault="00B929F4">
      <w:pPr>
        <w:pStyle w:val="BodyText"/>
        <w:spacing w:before="4"/>
        <w:rPr>
          <w:i w:val="0"/>
          <w:sz w:val="21"/>
        </w:rPr>
      </w:pPr>
    </w:p>
    <w:p w14:paraId="0F3D67A0" w14:textId="390813E7" w:rsidR="00B929F4" w:rsidRDefault="00000000" w:rsidP="00E32759">
      <w:pPr>
        <w:pStyle w:val="BodyText"/>
        <w:spacing w:before="1" w:line="252" w:lineRule="auto"/>
        <w:ind w:left="100" w:right="114"/>
        <w:jc w:val="both"/>
        <w:rPr>
          <w:rFonts w:asciiTheme="minorEastAsia" w:eastAsiaTheme="minorEastAsia" w:hAnsiTheme="minorEastAsia" w:cs="PMingLiU"/>
          <w:lang w:eastAsia="zh-CN"/>
        </w:rPr>
      </w:pPr>
      <w:r>
        <w:t>As at the</w:t>
      </w:r>
      <w:r>
        <w:rPr>
          <w:spacing w:val="-1"/>
        </w:rPr>
        <w:t xml:space="preserve"> </w:t>
      </w:r>
      <w:r>
        <w:t>date</w:t>
      </w:r>
      <w:r>
        <w:rPr>
          <w:spacing w:val="-1"/>
        </w:rPr>
        <w:t xml:space="preserve"> </w:t>
      </w:r>
      <w:r>
        <w:t>of this notice, the executive directors of the</w:t>
      </w:r>
      <w:r>
        <w:rPr>
          <w:spacing w:val="-1"/>
        </w:rPr>
        <w:t xml:space="preserve"> </w:t>
      </w:r>
      <w:r>
        <w:t>Company</w:t>
      </w:r>
      <w:r>
        <w:rPr>
          <w:spacing w:val="-2"/>
        </w:rPr>
        <w:t xml:space="preserve"> </w:t>
      </w:r>
      <w:r>
        <w:t xml:space="preserve">are </w:t>
      </w:r>
      <w:r w:rsidR="00E32759">
        <w:t xml:space="preserve">Wang </w:t>
      </w:r>
      <w:proofErr w:type="spellStart"/>
      <w:r w:rsidR="00E32759">
        <w:t>Shudong</w:t>
      </w:r>
      <w:proofErr w:type="spellEnd"/>
      <w:r w:rsidR="00E32759">
        <w:t xml:space="preserve">, Peng Yi, Liao </w:t>
      </w:r>
      <w:proofErr w:type="spellStart"/>
      <w:r w:rsidR="00E32759">
        <w:t>Huajun</w:t>
      </w:r>
      <w:proofErr w:type="spellEnd"/>
      <w:r w:rsidR="00E32759">
        <w:t xml:space="preserve"> and Zhao </w:t>
      </w:r>
      <w:proofErr w:type="spellStart"/>
      <w:r w:rsidR="00E32759">
        <w:t>Rongzhe</w:t>
      </w:r>
      <w:proofErr w:type="spellEnd"/>
      <w:r w:rsidR="00E32759">
        <w:t xml:space="preserve">; non-executive director is Xu Qian; independent non-executive directors are Zhang </w:t>
      </w:r>
      <w:proofErr w:type="spellStart"/>
      <w:r w:rsidR="00E32759">
        <w:t>Chengjie</w:t>
      </w:r>
      <w:proofErr w:type="spellEnd"/>
      <w:r w:rsidR="00E32759">
        <w:t xml:space="preserve">, Jing </w:t>
      </w:r>
      <w:proofErr w:type="spellStart"/>
      <w:r w:rsidR="00E32759">
        <w:t>Fengru</w:t>
      </w:r>
      <w:proofErr w:type="spellEnd"/>
      <w:r w:rsidR="00E32759">
        <w:t xml:space="preserve"> and Hung Lo Shan </w:t>
      </w:r>
      <w:proofErr w:type="spellStart"/>
      <w:r w:rsidR="00E32759">
        <w:t>Lusan</w:t>
      </w:r>
      <w:proofErr w:type="spellEnd"/>
      <w:r w:rsidR="00F122D9">
        <w:rPr>
          <w:rFonts w:asciiTheme="minorEastAsia" w:eastAsiaTheme="minorEastAsia" w:hAnsiTheme="minorEastAsia" w:cs="PMingLiU" w:hint="eastAsia"/>
          <w:lang w:eastAsia="zh-CN"/>
        </w:rPr>
        <w:t>.</w:t>
      </w:r>
    </w:p>
    <w:p w14:paraId="6EFD6657" w14:textId="77777777" w:rsidR="00F122D9" w:rsidRDefault="00F122D9" w:rsidP="00E32759">
      <w:pPr>
        <w:pStyle w:val="BodyText"/>
        <w:spacing w:before="1" w:line="252" w:lineRule="auto"/>
        <w:ind w:left="100" w:right="114"/>
        <w:jc w:val="both"/>
        <w:rPr>
          <w:sz w:val="31"/>
        </w:rPr>
      </w:pPr>
    </w:p>
    <w:p w14:paraId="0F3D67A1" w14:textId="77777777" w:rsidR="00B929F4" w:rsidRDefault="00000000">
      <w:pPr>
        <w:pStyle w:val="BodyText"/>
        <w:spacing w:before="1"/>
        <w:ind w:left="100"/>
      </w:pPr>
      <w:r>
        <w:t>*</w:t>
      </w:r>
      <w:r>
        <w:rPr>
          <w:spacing w:val="-3"/>
        </w:rPr>
        <w:t xml:space="preserve"> </w:t>
      </w:r>
      <w:r>
        <w:t>For</w:t>
      </w:r>
      <w:r>
        <w:rPr>
          <w:spacing w:val="-2"/>
        </w:rPr>
        <w:t xml:space="preserve"> </w:t>
      </w:r>
      <w:r>
        <w:t>identification</w:t>
      </w:r>
      <w:r>
        <w:rPr>
          <w:spacing w:val="-2"/>
        </w:rPr>
        <w:t xml:space="preserve"> </w:t>
      </w:r>
      <w:r>
        <w:t>purpose</w:t>
      </w:r>
      <w:r>
        <w:rPr>
          <w:spacing w:val="-2"/>
        </w:rPr>
        <w:t xml:space="preserve"> </w:t>
      </w:r>
      <w:r>
        <w:rPr>
          <w:spacing w:val="-4"/>
        </w:rPr>
        <w:t>only</w:t>
      </w:r>
    </w:p>
    <w:p w14:paraId="0F3D67A2" w14:textId="77777777" w:rsidR="00B929F4" w:rsidRDefault="00B929F4">
      <w:pPr>
        <w:pStyle w:val="BodyText"/>
        <w:rPr>
          <w:sz w:val="20"/>
        </w:rPr>
      </w:pPr>
    </w:p>
    <w:p w14:paraId="0F3D67A3" w14:textId="77777777" w:rsidR="00B929F4" w:rsidRDefault="00B929F4">
      <w:pPr>
        <w:pStyle w:val="BodyText"/>
        <w:rPr>
          <w:sz w:val="20"/>
        </w:rPr>
      </w:pPr>
    </w:p>
    <w:p w14:paraId="0F3D67A4" w14:textId="77777777" w:rsidR="00B929F4" w:rsidRDefault="00B929F4">
      <w:pPr>
        <w:pStyle w:val="BodyText"/>
        <w:rPr>
          <w:sz w:val="20"/>
        </w:rPr>
      </w:pPr>
    </w:p>
    <w:p w14:paraId="0F3D67A5" w14:textId="77777777" w:rsidR="00B929F4" w:rsidRDefault="00B929F4">
      <w:pPr>
        <w:pStyle w:val="BodyText"/>
        <w:rPr>
          <w:sz w:val="20"/>
        </w:rPr>
      </w:pPr>
    </w:p>
    <w:p w14:paraId="0F3D67A6" w14:textId="77777777" w:rsidR="00B929F4" w:rsidRDefault="00B929F4">
      <w:pPr>
        <w:pStyle w:val="BodyText"/>
        <w:rPr>
          <w:sz w:val="20"/>
        </w:rPr>
      </w:pPr>
    </w:p>
    <w:p w14:paraId="0F3D67A7" w14:textId="77777777" w:rsidR="00B929F4" w:rsidRDefault="00B929F4">
      <w:pPr>
        <w:pStyle w:val="BodyText"/>
        <w:rPr>
          <w:sz w:val="20"/>
        </w:rPr>
      </w:pPr>
    </w:p>
    <w:p w14:paraId="0F3D67A8" w14:textId="77777777" w:rsidR="00B929F4" w:rsidRDefault="00B929F4">
      <w:pPr>
        <w:pStyle w:val="BodyText"/>
        <w:rPr>
          <w:sz w:val="20"/>
        </w:rPr>
      </w:pPr>
    </w:p>
    <w:p w14:paraId="0F3D67A9" w14:textId="77777777" w:rsidR="00B929F4" w:rsidRDefault="00B929F4">
      <w:pPr>
        <w:pStyle w:val="BodyText"/>
        <w:rPr>
          <w:sz w:val="20"/>
        </w:rPr>
      </w:pPr>
    </w:p>
    <w:p w14:paraId="0F3D67AA" w14:textId="77777777" w:rsidR="00B929F4" w:rsidRDefault="00B929F4">
      <w:pPr>
        <w:pStyle w:val="BodyText"/>
        <w:rPr>
          <w:sz w:val="20"/>
        </w:rPr>
      </w:pPr>
    </w:p>
    <w:p w14:paraId="0F3D67AB" w14:textId="77777777" w:rsidR="00B929F4" w:rsidRDefault="00B929F4">
      <w:pPr>
        <w:pStyle w:val="BodyText"/>
        <w:rPr>
          <w:sz w:val="20"/>
        </w:rPr>
      </w:pPr>
    </w:p>
    <w:p w14:paraId="0F3D67AC" w14:textId="77777777" w:rsidR="00B929F4" w:rsidRDefault="00B929F4">
      <w:pPr>
        <w:pStyle w:val="BodyText"/>
        <w:spacing w:before="3"/>
        <w:rPr>
          <w:sz w:val="23"/>
        </w:rPr>
      </w:pPr>
    </w:p>
    <w:p w14:paraId="0F3D67AD" w14:textId="77777777" w:rsidR="00B929F4" w:rsidRDefault="00000000">
      <w:pPr>
        <w:ind w:right="16"/>
        <w:jc w:val="center"/>
      </w:pPr>
      <w:r>
        <w:t>1</w:t>
      </w:r>
    </w:p>
    <w:sectPr w:rsidR="00B929F4">
      <w:type w:val="continuous"/>
      <w:pgSz w:w="11910" w:h="16840"/>
      <w:pgMar w:top="146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929F4"/>
    <w:rsid w:val="003B6922"/>
    <w:rsid w:val="0080239F"/>
    <w:rsid w:val="008616D5"/>
    <w:rsid w:val="008D0FFF"/>
    <w:rsid w:val="00B929F4"/>
    <w:rsid w:val="00E32759"/>
    <w:rsid w:val="00F12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678E"/>
  <w15:docId w15:val="{DA008AD8-30B6-40C4-940A-E897E7F2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2" w:right="88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Company>DLA Piper</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Ivy Zou</cp:lastModifiedBy>
  <cp:revision>7</cp:revision>
  <dcterms:created xsi:type="dcterms:W3CDTF">2023-06-27T09:38:00Z</dcterms:created>
  <dcterms:modified xsi:type="dcterms:W3CDTF">2023-07-25T03:40:00Z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Aspose Ltd.</vt:lpwstr>
  </property>
  <property fmtid="{D5CDD505-2E9C-101B-9397-08002B2CF9AE}" pid="4" name="LastSaved">
    <vt:filetime>2023-06-27T00:00:00Z</vt:filetime>
  </property>
  <property fmtid="{D5CDD505-2E9C-101B-9397-08002B2CF9AE}" pid="5" name="Plato EditorId">
    <vt:lpwstr>9aba968a-b87d-42d5-af50-8bdbf18931d3</vt:lpwstr>
  </property>
  <property fmtid="{D5CDD505-2E9C-101B-9397-08002B2CF9AE}" pid="6" name="Plato Matter Owner Designation">
    <vt:lpwstr/>
  </property>
</Properties>
</file>