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9B7" w14:textId="77777777" w:rsidR="006C5C00" w:rsidRPr="005461F9" w:rsidRDefault="006C5C00" w:rsidP="006C5C00">
      <w:pPr>
        <w:widowControl w:val="0"/>
        <w:autoSpaceDE w:val="0"/>
        <w:autoSpaceDN w:val="0"/>
        <w:adjustRightInd w:val="0"/>
        <w:spacing w:before="22" w:after="0" w:line="360" w:lineRule="exact"/>
        <w:ind w:right="66"/>
        <w:jc w:val="both"/>
        <w:rPr>
          <w:rFonts w:ascii="PMingLiU" w:hAnsi="Times New Roman" w:cs="PMingLiU"/>
          <w:i/>
          <w:sz w:val="25"/>
          <w:szCs w:val="25"/>
          <w:lang w:eastAsia="zh-TW"/>
        </w:rPr>
      </w:pPr>
      <w:r w:rsidRPr="005461F9">
        <w:rPr>
          <w:rFonts w:ascii="PMingLiU" w:hAnsi="Times New Roman" w:cs="PMingLiU" w:hint="eastAsia"/>
          <w:i/>
          <w:w w:val="96"/>
          <w:sz w:val="25"/>
          <w:szCs w:val="25"/>
          <w:lang w:eastAsia="zh-TW"/>
        </w:rPr>
        <w:t>香港交易及結算所有限公司及香港聯合交易所有限公司對本公告的內容概不負責，對其準</w:t>
      </w:r>
      <w:r w:rsidRPr="005461F9">
        <w:rPr>
          <w:rFonts w:ascii="PMingLiU" w:hAnsi="Times New Roman" w:cs="PMingLiU" w:hint="eastAsia"/>
          <w:i/>
          <w:sz w:val="25"/>
          <w:szCs w:val="25"/>
          <w:lang w:eastAsia="zh-TW"/>
        </w:rPr>
        <w:t>確性或完整性亦不發表任何聲明，並明確表示，概不對因本公告全部或任何部份內容而產生或因倚賴該等內容而引致的任何損失承擔任何責任。</w:t>
      </w:r>
    </w:p>
    <w:p w14:paraId="48106270" w14:textId="77777777" w:rsidR="00D22AED" w:rsidRDefault="00D22AED" w:rsidP="006C5C00">
      <w:pPr>
        <w:spacing w:after="0"/>
        <w:rPr>
          <w:lang w:eastAsia="zh-TW"/>
        </w:rPr>
      </w:pPr>
    </w:p>
    <w:p w14:paraId="379D3E2D" w14:textId="77777777" w:rsidR="006C5C00" w:rsidRDefault="006C5C00" w:rsidP="006C5C00">
      <w:pPr>
        <w:spacing w:after="0"/>
        <w:rPr>
          <w:lang w:eastAsia="zh-TW"/>
        </w:rPr>
      </w:pPr>
    </w:p>
    <w:p w14:paraId="266715DF" w14:textId="1D2222BF" w:rsidR="006C5C00" w:rsidRDefault="00D30AFB" w:rsidP="006C5C00">
      <w:pPr>
        <w:spacing w:after="0"/>
        <w:rPr>
          <w:lang w:eastAsia="zh-TW"/>
        </w:rPr>
      </w:pPr>
      <w:r w:rsidRPr="00155133">
        <w:rPr>
          <w:rFonts w:ascii="Times New Roman" w:hAnsi="Times New Roman"/>
          <w:noProof/>
          <w:sz w:val="24"/>
          <w:szCs w:val="24"/>
          <w:lang w:eastAsia="zh-CN"/>
        </w:rPr>
        <w:drawing>
          <wp:inline distT="0" distB="0" distL="0" distR="0" wp14:anchorId="7018513E" wp14:editId="7EBC6957">
            <wp:extent cx="137160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r w:rsidRPr="00155133">
        <w:rPr>
          <w:rFonts w:ascii="Times New Roman" w:hAnsi="Times New Roman"/>
          <w:noProof/>
          <w:sz w:val="24"/>
          <w:szCs w:val="24"/>
          <w:lang w:eastAsia="zh-CN"/>
        </w:rPr>
        <w:drawing>
          <wp:inline distT="0" distB="0" distL="0" distR="0" wp14:anchorId="6FF1AB6F" wp14:editId="568ABBE0">
            <wp:extent cx="3695700" cy="676275"/>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80000"/>
                      <a:extLst>
                        <a:ext uri="{28A0092B-C50C-407E-A947-70E740481C1C}">
                          <a14:useLocalDpi xmlns:a14="http://schemas.microsoft.com/office/drawing/2010/main" val="0"/>
                        </a:ext>
                      </a:extLst>
                    </a:blip>
                    <a:srcRect/>
                    <a:stretch>
                      <a:fillRect/>
                    </a:stretch>
                  </pic:blipFill>
                  <pic:spPr bwMode="auto">
                    <a:xfrm>
                      <a:off x="0" y="0"/>
                      <a:ext cx="3695700" cy="676275"/>
                    </a:xfrm>
                    <a:prstGeom prst="rect">
                      <a:avLst/>
                    </a:prstGeom>
                    <a:noFill/>
                    <a:ln>
                      <a:noFill/>
                    </a:ln>
                  </pic:spPr>
                </pic:pic>
              </a:graphicData>
            </a:graphic>
          </wp:inline>
        </w:drawing>
      </w:r>
    </w:p>
    <w:p w14:paraId="5BBED777" w14:textId="77777777" w:rsidR="006C5C00" w:rsidRPr="00ED262C" w:rsidRDefault="006C5C00" w:rsidP="006C5C00">
      <w:pPr>
        <w:spacing w:after="0"/>
        <w:rPr>
          <w:rFonts w:ascii="PMingLiU" w:hAnsi="Times New Roman" w:cs="PMingLiU"/>
          <w:b/>
          <w:sz w:val="20"/>
          <w:szCs w:val="20"/>
          <w:lang w:val="en-GB" w:eastAsia="zh-TW"/>
        </w:rPr>
      </w:pPr>
      <w:r>
        <w:rPr>
          <w:rFonts w:ascii="PMingLiU" w:hAnsi="Times New Roman" w:cs="PMingLiU"/>
          <w:sz w:val="20"/>
          <w:szCs w:val="20"/>
          <w:lang w:val="en-GB" w:eastAsia="zh-TW"/>
        </w:rPr>
        <w:t xml:space="preserve">                                                            </w:t>
      </w:r>
      <w:r w:rsidRPr="00ED262C">
        <w:rPr>
          <w:rFonts w:ascii="PMingLiU" w:hAnsi="Times New Roman" w:cs="PMingLiU" w:hint="eastAsia"/>
          <w:b/>
          <w:sz w:val="20"/>
          <w:szCs w:val="20"/>
          <w:lang w:eastAsia="zh-TW"/>
        </w:rPr>
        <w:t>（於香港註</w:t>
      </w:r>
      <w:r w:rsidRPr="00ED262C">
        <w:rPr>
          <w:rFonts w:ascii="PMingLiU" w:hAnsi="Times New Roman" w:cs="PMingLiU" w:hint="eastAsia"/>
          <w:b/>
          <w:spacing w:val="-1"/>
          <w:sz w:val="20"/>
          <w:szCs w:val="20"/>
          <w:lang w:eastAsia="zh-TW"/>
        </w:rPr>
        <w:t>冊</w:t>
      </w:r>
      <w:r w:rsidRPr="00ED262C">
        <w:rPr>
          <w:rFonts w:ascii="PMingLiU" w:hAnsi="Times New Roman" w:cs="PMingLiU" w:hint="eastAsia"/>
          <w:b/>
          <w:sz w:val="20"/>
          <w:szCs w:val="20"/>
          <w:lang w:eastAsia="zh-TW"/>
        </w:rPr>
        <w:t>成立之有限</w:t>
      </w:r>
      <w:r w:rsidRPr="00ED262C">
        <w:rPr>
          <w:rFonts w:ascii="PMingLiU" w:hAnsi="Times New Roman" w:cs="PMingLiU" w:hint="eastAsia"/>
          <w:b/>
          <w:spacing w:val="-1"/>
          <w:sz w:val="20"/>
          <w:szCs w:val="20"/>
          <w:lang w:eastAsia="zh-TW"/>
        </w:rPr>
        <w:t>公</w:t>
      </w:r>
      <w:r w:rsidRPr="00ED262C">
        <w:rPr>
          <w:rFonts w:ascii="PMingLiU" w:hAnsi="Times New Roman" w:cs="PMingLiU" w:hint="eastAsia"/>
          <w:b/>
          <w:sz w:val="20"/>
          <w:szCs w:val="20"/>
          <w:lang w:eastAsia="zh-TW"/>
        </w:rPr>
        <w:t>司</w:t>
      </w:r>
      <w:r w:rsidRPr="00ED262C">
        <w:rPr>
          <w:rFonts w:ascii="PMingLiU" w:hAnsi="Times New Roman" w:cs="PMingLiU" w:hint="eastAsia"/>
          <w:b/>
          <w:sz w:val="20"/>
          <w:szCs w:val="20"/>
          <w:lang w:val="en-GB" w:eastAsia="zh-TW"/>
        </w:rPr>
        <w:t>）</w:t>
      </w:r>
    </w:p>
    <w:p w14:paraId="435CC6B3" w14:textId="77777777" w:rsidR="006C5C00" w:rsidRDefault="006C5C00" w:rsidP="006C5C00">
      <w:pPr>
        <w:spacing w:after="0"/>
        <w:rPr>
          <w:rFonts w:ascii="PMingLiU" w:hAnsi="Times New Roman" w:cs="PMingLiU"/>
          <w:sz w:val="20"/>
          <w:szCs w:val="20"/>
          <w:lang w:val="en-GB" w:eastAsia="zh-TW"/>
        </w:rPr>
      </w:pPr>
    </w:p>
    <w:p w14:paraId="593F8C08" w14:textId="77777777" w:rsidR="006C5C00" w:rsidRDefault="006C5C00" w:rsidP="006C5C00">
      <w:pPr>
        <w:widowControl w:val="0"/>
        <w:autoSpaceDE w:val="0"/>
        <w:autoSpaceDN w:val="0"/>
        <w:adjustRightInd w:val="0"/>
        <w:spacing w:after="0" w:line="240" w:lineRule="auto"/>
        <w:ind w:right="2430"/>
        <w:rPr>
          <w:rFonts w:ascii="Times New Roman" w:hAnsi="Times New Roman"/>
          <w:b/>
          <w:bCs/>
          <w:sz w:val="24"/>
          <w:szCs w:val="24"/>
          <w:lang w:eastAsia="zh-TW"/>
        </w:rPr>
      </w:pPr>
      <w:r>
        <w:rPr>
          <w:rFonts w:ascii="Times New Roman" w:hAnsi="Times New Roman"/>
          <w:b/>
          <w:bCs/>
          <w:sz w:val="24"/>
          <w:szCs w:val="24"/>
          <w:lang w:eastAsia="zh-TW"/>
        </w:rPr>
        <w:t xml:space="preserve">                                                      </w:t>
      </w:r>
      <w:r w:rsidR="008E5BF9">
        <w:rPr>
          <w:rFonts w:ascii="Times New Roman" w:hAnsi="Times New Roman"/>
          <w:b/>
          <w:bCs/>
          <w:sz w:val="24"/>
          <w:szCs w:val="24"/>
          <w:lang w:eastAsia="zh-TW"/>
        </w:rPr>
        <w:t xml:space="preserve">      </w:t>
      </w:r>
      <w:r w:rsidRPr="00701E4C">
        <w:rPr>
          <w:rFonts w:ascii="Times New Roman" w:hAnsi="Times New Roman"/>
          <w:b/>
          <w:bCs/>
          <w:sz w:val="24"/>
          <w:szCs w:val="24"/>
          <w:lang w:eastAsia="zh-TW"/>
        </w:rPr>
        <w:t>(</w:t>
      </w:r>
      <w:proofErr w:type="gramStart"/>
      <w:r w:rsidRPr="00701E4C">
        <w:rPr>
          <w:rFonts w:ascii="PMingLiU" w:hAnsi="Times New Roman" w:cs="PMingLiU" w:hint="eastAsia"/>
          <w:b/>
          <w:sz w:val="24"/>
          <w:szCs w:val="24"/>
          <w:lang w:eastAsia="zh-TW"/>
        </w:rPr>
        <w:t>股份代號</w:t>
      </w:r>
      <w:r w:rsidRPr="00701E4C">
        <w:rPr>
          <w:rFonts w:ascii="PMingLiU" w:hAnsi="Times New Roman" w:cs="PMingLiU"/>
          <w:b/>
          <w:spacing w:val="48"/>
          <w:sz w:val="24"/>
          <w:szCs w:val="24"/>
          <w:lang w:eastAsia="zh-TW"/>
        </w:rPr>
        <w:t xml:space="preserve"> </w:t>
      </w:r>
      <w:r w:rsidRPr="00701E4C">
        <w:rPr>
          <w:rFonts w:ascii="Times New Roman" w:hAnsi="Times New Roman"/>
          <w:b/>
          <w:bCs/>
          <w:sz w:val="24"/>
          <w:szCs w:val="24"/>
          <w:lang w:eastAsia="zh-TW"/>
        </w:rPr>
        <w:t>:</w:t>
      </w:r>
      <w:proofErr w:type="gramEnd"/>
      <w:r w:rsidRPr="00701E4C">
        <w:rPr>
          <w:rFonts w:ascii="Times New Roman" w:hAnsi="Times New Roman"/>
          <w:b/>
          <w:bCs/>
          <w:sz w:val="24"/>
          <w:szCs w:val="24"/>
          <w:lang w:eastAsia="zh-TW"/>
        </w:rPr>
        <w:t xml:space="preserve"> 158)</w:t>
      </w:r>
    </w:p>
    <w:p w14:paraId="75EBE1ED" w14:textId="77777777" w:rsidR="006C5C00" w:rsidRDefault="006C5C00" w:rsidP="006C5C00">
      <w:pPr>
        <w:widowControl w:val="0"/>
        <w:autoSpaceDE w:val="0"/>
        <w:autoSpaceDN w:val="0"/>
        <w:adjustRightInd w:val="0"/>
        <w:spacing w:after="0" w:line="240" w:lineRule="auto"/>
        <w:ind w:right="2430"/>
        <w:rPr>
          <w:rFonts w:ascii="Times New Roman" w:hAnsi="Times New Roman"/>
          <w:b/>
          <w:bCs/>
          <w:sz w:val="24"/>
          <w:szCs w:val="24"/>
          <w:lang w:eastAsia="zh-TW"/>
        </w:rPr>
      </w:pPr>
    </w:p>
    <w:p w14:paraId="754724D3" w14:textId="77777777" w:rsidR="006C5C00" w:rsidRDefault="006C5C00" w:rsidP="006C5C00">
      <w:pPr>
        <w:widowControl w:val="0"/>
        <w:autoSpaceDE w:val="0"/>
        <w:autoSpaceDN w:val="0"/>
        <w:adjustRightInd w:val="0"/>
        <w:spacing w:after="0" w:line="240" w:lineRule="auto"/>
        <w:ind w:right="2430"/>
        <w:rPr>
          <w:rFonts w:ascii="Times New Roman" w:hAnsi="Times New Roman"/>
          <w:b/>
          <w:bCs/>
          <w:sz w:val="24"/>
          <w:szCs w:val="24"/>
          <w:lang w:eastAsia="zh-TW"/>
        </w:rPr>
      </w:pPr>
    </w:p>
    <w:p w14:paraId="455CA9DD" w14:textId="77777777" w:rsidR="006C5C00" w:rsidRDefault="006C5C00" w:rsidP="006C5C00">
      <w:pPr>
        <w:widowControl w:val="0"/>
        <w:autoSpaceDE w:val="0"/>
        <w:autoSpaceDN w:val="0"/>
        <w:adjustRightInd w:val="0"/>
        <w:spacing w:after="0" w:line="240" w:lineRule="auto"/>
        <w:ind w:right="2430"/>
        <w:rPr>
          <w:rFonts w:ascii="Times New Roman" w:hAnsi="Times New Roman"/>
          <w:b/>
          <w:sz w:val="24"/>
          <w:szCs w:val="24"/>
          <w:lang w:eastAsia="zh-TW"/>
        </w:rPr>
      </w:pPr>
      <w:r>
        <w:rPr>
          <w:rFonts w:ascii="Times New Roman" w:hAnsi="Times New Roman"/>
          <w:b/>
          <w:sz w:val="24"/>
          <w:szCs w:val="24"/>
          <w:lang w:eastAsia="zh-TW"/>
        </w:rPr>
        <w:t xml:space="preserve">                                           </w:t>
      </w:r>
      <w:r w:rsidR="00BE632F">
        <w:rPr>
          <w:rFonts w:ascii="Times New Roman" w:hAnsi="Times New Roman"/>
          <w:b/>
          <w:sz w:val="24"/>
          <w:szCs w:val="24"/>
          <w:lang w:eastAsia="zh-TW"/>
        </w:rPr>
        <w:t>20</w:t>
      </w:r>
      <w:r w:rsidR="00DD50F0">
        <w:rPr>
          <w:rFonts w:ascii="Times New Roman" w:hAnsi="Times New Roman"/>
          <w:b/>
          <w:sz w:val="24"/>
          <w:szCs w:val="24"/>
          <w:lang w:eastAsia="zh-TW"/>
        </w:rPr>
        <w:t>2</w:t>
      </w:r>
      <w:r w:rsidR="006C4F41">
        <w:rPr>
          <w:rFonts w:ascii="Times New Roman" w:hAnsi="Times New Roman"/>
          <w:b/>
          <w:sz w:val="24"/>
          <w:szCs w:val="24"/>
          <w:lang w:eastAsia="zh-TW"/>
        </w:rPr>
        <w:t>2</w:t>
      </w:r>
      <w:r w:rsidRPr="006C5C00">
        <w:rPr>
          <w:rFonts w:ascii="Times New Roman" w:hAnsi="Times New Roman" w:hint="eastAsia"/>
          <w:b/>
          <w:sz w:val="24"/>
          <w:szCs w:val="24"/>
          <w:lang w:eastAsia="zh-TW"/>
        </w:rPr>
        <w:t>年股東週年大會投票表決結果</w:t>
      </w:r>
      <w:r w:rsidRPr="006C5C00">
        <w:rPr>
          <w:rFonts w:ascii="Times New Roman" w:hAnsi="Times New Roman"/>
          <w:b/>
          <w:sz w:val="24"/>
          <w:szCs w:val="24"/>
          <w:lang w:eastAsia="zh-TW"/>
        </w:rPr>
        <w:t xml:space="preserve"> </w:t>
      </w:r>
      <w:r w:rsidRPr="006C5C00">
        <w:rPr>
          <w:rFonts w:ascii="Times New Roman" w:hAnsi="Times New Roman"/>
          <w:b/>
          <w:sz w:val="24"/>
          <w:szCs w:val="24"/>
          <w:lang w:eastAsia="zh-TW"/>
        </w:rPr>
        <w:cr/>
      </w:r>
    </w:p>
    <w:p w14:paraId="0EED5CD4" w14:textId="77777777" w:rsidR="006C5C00" w:rsidRPr="00A772B6" w:rsidRDefault="006C5C00" w:rsidP="006C5C00">
      <w:pPr>
        <w:widowControl w:val="0"/>
        <w:autoSpaceDE w:val="0"/>
        <w:autoSpaceDN w:val="0"/>
        <w:adjustRightInd w:val="0"/>
        <w:spacing w:after="0" w:line="240" w:lineRule="auto"/>
        <w:ind w:right="2430"/>
        <w:rPr>
          <w:rFonts w:ascii="Times New Roman" w:eastAsia="DengXian" w:hAnsi="Times New Roman"/>
          <w:b/>
          <w:sz w:val="24"/>
          <w:szCs w:val="24"/>
          <w:lang w:eastAsia="zh-TW"/>
        </w:rPr>
      </w:pPr>
    </w:p>
    <w:p w14:paraId="430EE6D0" w14:textId="77777777" w:rsidR="00EC70B0" w:rsidRPr="00701E4C" w:rsidRDefault="00EC70B0" w:rsidP="006C5C00">
      <w:pPr>
        <w:widowControl w:val="0"/>
        <w:autoSpaceDE w:val="0"/>
        <w:autoSpaceDN w:val="0"/>
        <w:adjustRightInd w:val="0"/>
        <w:spacing w:after="0" w:line="240" w:lineRule="auto"/>
        <w:ind w:right="2430"/>
        <w:rPr>
          <w:rFonts w:ascii="Times New Roman" w:hAnsi="Times New Roman"/>
          <w:b/>
          <w:sz w:val="24"/>
          <w:szCs w:val="24"/>
          <w:lang w:eastAsia="zh-TW"/>
        </w:rPr>
      </w:pPr>
    </w:p>
    <w:p w14:paraId="6A11D858" w14:textId="1A98AA76" w:rsidR="006C5C00" w:rsidRDefault="006C5C00" w:rsidP="006C5C00">
      <w:pPr>
        <w:spacing w:after="0"/>
        <w:jc w:val="both"/>
        <w:rPr>
          <w:sz w:val="24"/>
          <w:szCs w:val="24"/>
          <w:lang w:eastAsia="zh-TW"/>
        </w:rPr>
      </w:pPr>
      <w:r w:rsidRPr="006C5C00">
        <w:rPr>
          <w:rFonts w:hint="eastAsia"/>
          <w:sz w:val="24"/>
          <w:szCs w:val="24"/>
          <w:lang w:eastAsia="zh-TW"/>
        </w:rPr>
        <w:t>萬邦投資有限公司</w:t>
      </w:r>
      <w:r w:rsidRPr="006C5C00">
        <w:rPr>
          <w:sz w:val="24"/>
          <w:szCs w:val="24"/>
          <w:lang w:eastAsia="zh-TW"/>
        </w:rPr>
        <w:t>(</w:t>
      </w:r>
      <w:r w:rsidRPr="006C5C00">
        <w:rPr>
          <w:rFonts w:hint="eastAsia"/>
          <w:sz w:val="24"/>
          <w:szCs w:val="24"/>
          <w:lang w:eastAsia="zh-TW"/>
        </w:rPr>
        <w:t>「本公司」</w:t>
      </w:r>
      <w:r w:rsidRPr="006C5C00">
        <w:rPr>
          <w:sz w:val="24"/>
          <w:szCs w:val="24"/>
          <w:lang w:eastAsia="zh-TW"/>
        </w:rPr>
        <w:t>)</w:t>
      </w:r>
      <w:r w:rsidRPr="006C5C00">
        <w:rPr>
          <w:rFonts w:hint="eastAsia"/>
          <w:sz w:val="24"/>
          <w:szCs w:val="24"/>
          <w:lang w:eastAsia="zh-TW"/>
        </w:rPr>
        <w:t>董事會</w:t>
      </w:r>
      <w:r w:rsidRPr="006C5C00">
        <w:rPr>
          <w:sz w:val="24"/>
          <w:szCs w:val="24"/>
          <w:lang w:eastAsia="zh-TW"/>
        </w:rPr>
        <w:t>(</w:t>
      </w:r>
      <w:r w:rsidRPr="006C5C00">
        <w:rPr>
          <w:rFonts w:hint="eastAsia"/>
          <w:sz w:val="24"/>
          <w:szCs w:val="24"/>
          <w:lang w:eastAsia="zh-TW"/>
        </w:rPr>
        <w:t>「董事會」</w:t>
      </w:r>
      <w:r w:rsidRPr="006C5C00">
        <w:rPr>
          <w:sz w:val="24"/>
          <w:szCs w:val="24"/>
          <w:lang w:eastAsia="zh-TW"/>
        </w:rPr>
        <w:t>)</w:t>
      </w:r>
      <w:r w:rsidRPr="006C5C00">
        <w:rPr>
          <w:rFonts w:hint="eastAsia"/>
          <w:sz w:val="24"/>
          <w:szCs w:val="24"/>
          <w:lang w:eastAsia="zh-TW"/>
        </w:rPr>
        <w:t>欣然宣佈，於</w:t>
      </w:r>
      <w:r w:rsidR="00BE632F">
        <w:rPr>
          <w:sz w:val="24"/>
          <w:szCs w:val="24"/>
          <w:lang w:eastAsia="zh-TW"/>
        </w:rPr>
        <w:t>202</w:t>
      </w:r>
      <w:r w:rsidR="00CB7976">
        <w:rPr>
          <w:sz w:val="24"/>
          <w:szCs w:val="24"/>
          <w:lang w:eastAsia="zh-TW"/>
        </w:rPr>
        <w:t>3</w:t>
      </w:r>
      <w:r w:rsidRPr="006C5C00">
        <w:rPr>
          <w:rFonts w:hint="eastAsia"/>
          <w:sz w:val="24"/>
          <w:szCs w:val="24"/>
          <w:lang w:eastAsia="zh-TW"/>
        </w:rPr>
        <w:t>年</w:t>
      </w:r>
      <w:r w:rsidR="00B26C86">
        <w:rPr>
          <w:sz w:val="24"/>
          <w:szCs w:val="24"/>
          <w:lang w:eastAsia="zh-TW"/>
        </w:rPr>
        <w:t>1</w:t>
      </w:r>
      <w:r w:rsidRPr="006C5C00">
        <w:rPr>
          <w:rFonts w:hint="eastAsia"/>
          <w:sz w:val="24"/>
          <w:szCs w:val="24"/>
          <w:lang w:eastAsia="zh-TW"/>
        </w:rPr>
        <w:t>月</w:t>
      </w:r>
      <w:r w:rsidR="00B26C86">
        <w:rPr>
          <w:sz w:val="24"/>
          <w:szCs w:val="24"/>
          <w:lang w:eastAsia="zh-TW"/>
        </w:rPr>
        <w:t>2</w:t>
      </w:r>
      <w:r w:rsidR="006C4F41">
        <w:rPr>
          <w:sz w:val="24"/>
          <w:szCs w:val="24"/>
          <w:lang w:eastAsia="zh-TW"/>
        </w:rPr>
        <w:t>0</w:t>
      </w:r>
      <w:r w:rsidRPr="006C5C00">
        <w:rPr>
          <w:rFonts w:hint="eastAsia"/>
          <w:sz w:val="24"/>
          <w:szCs w:val="24"/>
          <w:lang w:eastAsia="zh-TW"/>
        </w:rPr>
        <w:t>日舉行的本公司股東週年大會</w:t>
      </w:r>
      <w:r w:rsidRPr="006C5C00">
        <w:rPr>
          <w:sz w:val="24"/>
          <w:szCs w:val="24"/>
          <w:lang w:eastAsia="zh-TW"/>
        </w:rPr>
        <w:t>(</w:t>
      </w:r>
      <w:r w:rsidRPr="006C5C00">
        <w:rPr>
          <w:rFonts w:hint="eastAsia"/>
          <w:sz w:val="24"/>
          <w:szCs w:val="24"/>
          <w:lang w:eastAsia="zh-TW"/>
        </w:rPr>
        <w:t>「股東週年大會」</w:t>
      </w:r>
      <w:r w:rsidRPr="006C5C00">
        <w:rPr>
          <w:sz w:val="24"/>
          <w:szCs w:val="24"/>
          <w:lang w:eastAsia="zh-TW"/>
        </w:rPr>
        <w:t>)</w:t>
      </w:r>
      <w:r w:rsidRPr="006C5C00">
        <w:rPr>
          <w:rFonts w:hint="eastAsia"/>
          <w:sz w:val="24"/>
          <w:szCs w:val="24"/>
          <w:lang w:eastAsia="zh-TW"/>
        </w:rPr>
        <w:t>上，各項載於</w:t>
      </w:r>
      <w:r w:rsidR="00BE632F">
        <w:rPr>
          <w:sz w:val="24"/>
          <w:szCs w:val="24"/>
          <w:lang w:eastAsia="zh-TW"/>
        </w:rPr>
        <w:t>20</w:t>
      </w:r>
      <w:r w:rsidR="006C4F41">
        <w:rPr>
          <w:sz w:val="24"/>
          <w:szCs w:val="24"/>
          <w:lang w:eastAsia="zh-TW"/>
        </w:rPr>
        <w:t>22</w:t>
      </w:r>
      <w:r w:rsidRPr="006C5C00">
        <w:rPr>
          <w:rFonts w:hint="eastAsia"/>
          <w:sz w:val="24"/>
          <w:szCs w:val="24"/>
          <w:lang w:eastAsia="zh-TW"/>
        </w:rPr>
        <w:t>年</w:t>
      </w:r>
      <w:r w:rsidR="00B26C86">
        <w:rPr>
          <w:rFonts w:hint="eastAsia"/>
          <w:sz w:val="24"/>
          <w:szCs w:val="24"/>
          <w:lang w:eastAsia="zh-TW"/>
        </w:rPr>
        <w:t>1</w:t>
      </w:r>
      <w:r w:rsidR="00B26C86">
        <w:rPr>
          <w:sz w:val="24"/>
          <w:szCs w:val="24"/>
          <w:lang w:eastAsia="zh-TW"/>
        </w:rPr>
        <w:t>2</w:t>
      </w:r>
      <w:r w:rsidRPr="006C5C00">
        <w:rPr>
          <w:rFonts w:hint="eastAsia"/>
          <w:sz w:val="24"/>
          <w:szCs w:val="24"/>
          <w:lang w:eastAsia="zh-TW"/>
        </w:rPr>
        <w:t>月</w:t>
      </w:r>
      <w:r w:rsidR="006C4F41">
        <w:rPr>
          <w:rFonts w:hint="eastAsia"/>
          <w:sz w:val="24"/>
          <w:szCs w:val="24"/>
          <w:lang w:eastAsia="zh-TW"/>
        </w:rPr>
        <w:t>2</w:t>
      </w:r>
      <w:r w:rsidR="006C4F41">
        <w:rPr>
          <w:sz w:val="24"/>
          <w:szCs w:val="24"/>
          <w:lang w:eastAsia="zh-TW"/>
        </w:rPr>
        <w:t>9</w:t>
      </w:r>
      <w:r w:rsidRPr="006C5C00">
        <w:rPr>
          <w:rFonts w:hint="eastAsia"/>
          <w:sz w:val="24"/>
          <w:szCs w:val="24"/>
          <w:lang w:eastAsia="zh-TW"/>
        </w:rPr>
        <w:t>日股東週年大會通告內所提呈的決議案，已按照〈上市規則〉第</w:t>
      </w:r>
      <w:r w:rsidRPr="006C5C00">
        <w:rPr>
          <w:sz w:val="24"/>
          <w:szCs w:val="24"/>
          <w:lang w:eastAsia="zh-TW"/>
        </w:rPr>
        <w:t>13.39(4)</w:t>
      </w:r>
      <w:r w:rsidRPr="006C5C00">
        <w:rPr>
          <w:rFonts w:hint="eastAsia"/>
          <w:sz w:val="24"/>
          <w:szCs w:val="24"/>
          <w:lang w:eastAsia="zh-TW"/>
        </w:rPr>
        <w:t>條，以投票方式進行表決。各項</w:t>
      </w:r>
      <w:proofErr w:type="gramStart"/>
      <w:r w:rsidRPr="006C5C00">
        <w:rPr>
          <w:rFonts w:hint="eastAsia"/>
          <w:sz w:val="24"/>
          <w:szCs w:val="24"/>
          <w:lang w:eastAsia="zh-TW"/>
        </w:rPr>
        <w:t>決議案均已在</w:t>
      </w:r>
      <w:proofErr w:type="gramEnd"/>
      <w:r w:rsidRPr="006C5C00">
        <w:rPr>
          <w:rFonts w:hint="eastAsia"/>
          <w:sz w:val="24"/>
          <w:szCs w:val="24"/>
          <w:lang w:eastAsia="zh-TW"/>
        </w:rPr>
        <w:t>股東週年大會上獲本公司股東透過投票表決方式通過。本公司股份過户登記處，香港中央證券登記有限公司於股東週年大會上擔任投票表決的監察員。於股東週年大會所提呈的決議案的投票表決結果如下</w:t>
      </w:r>
      <w:r w:rsidRPr="006C5C00">
        <w:rPr>
          <w:sz w:val="24"/>
          <w:szCs w:val="24"/>
          <w:lang w:eastAsia="zh-TW"/>
        </w:rPr>
        <w:t xml:space="preserve">: </w:t>
      </w:r>
    </w:p>
    <w:p w14:paraId="49A5A001" w14:textId="77777777" w:rsidR="006C5C00" w:rsidRPr="006C5C00" w:rsidRDefault="006C5C00" w:rsidP="006C5C00">
      <w:pPr>
        <w:spacing w:after="0"/>
        <w:jc w:val="both"/>
        <w:rPr>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87"/>
        <w:gridCol w:w="1693"/>
        <w:gridCol w:w="1457"/>
      </w:tblGrid>
      <w:tr w:rsidR="006C5C00" w:rsidRPr="00155133" w14:paraId="7691BE5B" w14:textId="77777777" w:rsidTr="00155133">
        <w:tc>
          <w:tcPr>
            <w:tcW w:w="5688" w:type="dxa"/>
            <w:gridSpan w:val="2"/>
            <w:vMerge w:val="restart"/>
            <w:shd w:val="clear" w:color="auto" w:fill="auto"/>
          </w:tcPr>
          <w:p w14:paraId="71F81FC0" w14:textId="77777777" w:rsidR="006C5C00" w:rsidRPr="00155133" w:rsidRDefault="006C5C00" w:rsidP="00155133">
            <w:pPr>
              <w:spacing w:after="0" w:line="240" w:lineRule="auto"/>
              <w:jc w:val="center"/>
              <w:rPr>
                <w:b/>
                <w:sz w:val="24"/>
                <w:szCs w:val="24"/>
                <w:lang w:val="en-GB" w:eastAsia="zh-TW"/>
              </w:rPr>
            </w:pPr>
            <w:r w:rsidRPr="00155133">
              <w:rPr>
                <w:rFonts w:hint="eastAsia"/>
                <w:b/>
                <w:sz w:val="24"/>
                <w:szCs w:val="24"/>
                <w:lang w:eastAsia="zh-TW"/>
              </w:rPr>
              <w:t>決議案</w:t>
            </w:r>
          </w:p>
        </w:tc>
        <w:tc>
          <w:tcPr>
            <w:tcW w:w="3168" w:type="dxa"/>
            <w:gridSpan w:val="2"/>
            <w:shd w:val="clear" w:color="auto" w:fill="auto"/>
          </w:tcPr>
          <w:p w14:paraId="56E6FD56" w14:textId="77777777" w:rsidR="006C5C00" w:rsidRPr="00155133" w:rsidRDefault="00EC70B0" w:rsidP="00155133">
            <w:pPr>
              <w:spacing w:after="0" w:line="240" w:lineRule="auto"/>
              <w:jc w:val="both"/>
              <w:rPr>
                <w:b/>
                <w:sz w:val="24"/>
                <w:szCs w:val="24"/>
                <w:lang w:eastAsia="zh-TW"/>
              </w:rPr>
            </w:pPr>
            <w:r w:rsidRPr="00155133">
              <w:rPr>
                <w:b/>
                <w:sz w:val="24"/>
                <w:szCs w:val="24"/>
                <w:lang w:val="en-GB" w:eastAsia="zh-TW"/>
              </w:rPr>
              <w:t xml:space="preserve">                     </w:t>
            </w:r>
            <w:r w:rsidR="006C5C00" w:rsidRPr="00155133">
              <w:rPr>
                <w:rFonts w:hint="eastAsia"/>
                <w:b/>
                <w:sz w:val="24"/>
                <w:szCs w:val="24"/>
                <w:lang w:eastAsia="zh-TW"/>
              </w:rPr>
              <w:t>票數</w:t>
            </w:r>
            <w:r w:rsidR="006C5C00" w:rsidRPr="00155133">
              <w:rPr>
                <w:b/>
                <w:sz w:val="24"/>
                <w:szCs w:val="24"/>
                <w:lang w:eastAsia="zh-TW"/>
              </w:rPr>
              <w:t xml:space="preserve"> (%)</w:t>
            </w:r>
          </w:p>
        </w:tc>
      </w:tr>
      <w:tr w:rsidR="006C5C00" w:rsidRPr="00155133" w14:paraId="0C4CC02F" w14:textId="77777777" w:rsidTr="00155133">
        <w:tc>
          <w:tcPr>
            <w:tcW w:w="5688" w:type="dxa"/>
            <w:gridSpan w:val="2"/>
            <w:vMerge/>
            <w:shd w:val="clear" w:color="auto" w:fill="auto"/>
          </w:tcPr>
          <w:p w14:paraId="50409B66" w14:textId="77777777" w:rsidR="006C5C00" w:rsidRPr="00155133" w:rsidRDefault="006C5C00" w:rsidP="00155133">
            <w:pPr>
              <w:spacing w:after="0" w:line="240" w:lineRule="auto"/>
              <w:jc w:val="both"/>
              <w:rPr>
                <w:sz w:val="24"/>
                <w:szCs w:val="24"/>
                <w:lang w:eastAsia="zh-TW"/>
              </w:rPr>
            </w:pPr>
          </w:p>
        </w:tc>
        <w:tc>
          <w:tcPr>
            <w:tcW w:w="1710" w:type="dxa"/>
            <w:shd w:val="clear" w:color="auto" w:fill="auto"/>
          </w:tcPr>
          <w:p w14:paraId="59967916" w14:textId="77777777" w:rsidR="006C5C00" w:rsidRPr="00155133" w:rsidRDefault="006C5C00" w:rsidP="00155133">
            <w:pPr>
              <w:spacing w:after="0" w:line="240" w:lineRule="auto"/>
              <w:jc w:val="center"/>
              <w:rPr>
                <w:b/>
                <w:sz w:val="24"/>
                <w:szCs w:val="24"/>
                <w:lang w:eastAsia="zh-TW"/>
              </w:rPr>
            </w:pPr>
            <w:r w:rsidRPr="00155133">
              <w:rPr>
                <w:rFonts w:hint="eastAsia"/>
                <w:b/>
                <w:sz w:val="24"/>
                <w:szCs w:val="24"/>
                <w:lang w:eastAsia="zh-TW"/>
              </w:rPr>
              <w:t>贊成</w:t>
            </w:r>
          </w:p>
        </w:tc>
        <w:tc>
          <w:tcPr>
            <w:tcW w:w="1458" w:type="dxa"/>
            <w:shd w:val="clear" w:color="auto" w:fill="auto"/>
          </w:tcPr>
          <w:p w14:paraId="7CB02372" w14:textId="77777777" w:rsidR="006C5C00" w:rsidRPr="00155133" w:rsidRDefault="006C5C00" w:rsidP="00155133">
            <w:pPr>
              <w:spacing w:after="0" w:line="240" w:lineRule="auto"/>
              <w:jc w:val="center"/>
              <w:rPr>
                <w:b/>
                <w:sz w:val="24"/>
                <w:szCs w:val="24"/>
                <w:lang w:eastAsia="zh-TW"/>
              </w:rPr>
            </w:pPr>
            <w:r w:rsidRPr="00155133">
              <w:rPr>
                <w:rFonts w:hint="eastAsia"/>
                <w:b/>
                <w:sz w:val="24"/>
                <w:szCs w:val="24"/>
                <w:lang w:eastAsia="zh-TW"/>
              </w:rPr>
              <w:t>反對</w:t>
            </w:r>
          </w:p>
        </w:tc>
      </w:tr>
      <w:tr w:rsidR="006C5C00" w:rsidRPr="00155133" w14:paraId="6C71C01F" w14:textId="77777777" w:rsidTr="00155133">
        <w:tc>
          <w:tcPr>
            <w:tcW w:w="468" w:type="dxa"/>
            <w:shd w:val="clear" w:color="auto" w:fill="auto"/>
          </w:tcPr>
          <w:p w14:paraId="7775709C" w14:textId="77777777" w:rsidR="006C5C00" w:rsidRPr="00155133" w:rsidRDefault="006C5C00" w:rsidP="00155133">
            <w:pPr>
              <w:spacing w:after="0" w:line="240" w:lineRule="auto"/>
              <w:jc w:val="both"/>
              <w:rPr>
                <w:sz w:val="24"/>
                <w:szCs w:val="24"/>
                <w:lang w:eastAsia="zh-TW"/>
              </w:rPr>
            </w:pPr>
            <w:r w:rsidRPr="00155133">
              <w:rPr>
                <w:sz w:val="24"/>
                <w:szCs w:val="24"/>
                <w:lang w:eastAsia="zh-TW"/>
              </w:rPr>
              <w:t>1.</w:t>
            </w:r>
          </w:p>
        </w:tc>
        <w:tc>
          <w:tcPr>
            <w:tcW w:w="5220" w:type="dxa"/>
            <w:shd w:val="clear" w:color="auto" w:fill="auto"/>
          </w:tcPr>
          <w:p w14:paraId="6F6E10F2" w14:textId="77777777" w:rsidR="006C5C00" w:rsidRPr="00155133" w:rsidRDefault="006C5C00" w:rsidP="00155133">
            <w:pPr>
              <w:spacing w:after="0" w:line="240" w:lineRule="auto"/>
              <w:jc w:val="both"/>
              <w:rPr>
                <w:sz w:val="24"/>
                <w:szCs w:val="24"/>
                <w:lang w:eastAsia="zh-TW"/>
              </w:rPr>
            </w:pPr>
            <w:r w:rsidRPr="00155133">
              <w:rPr>
                <w:rFonts w:hint="eastAsia"/>
                <w:sz w:val="24"/>
                <w:szCs w:val="24"/>
                <w:lang w:eastAsia="zh-TW"/>
              </w:rPr>
              <w:t>省</w:t>
            </w:r>
            <w:proofErr w:type="gramStart"/>
            <w:r w:rsidRPr="00155133">
              <w:rPr>
                <w:rFonts w:hint="eastAsia"/>
                <w:sz w:val="24"/>
                <w:szCs w:val="24"/>
                <w:lang w:eastAsia="zh-TW"/>
              </w:rPr>
              <w:t>覽</w:t>
            </w:r>
            <w:proofErr w:type="gramEnd"/>
            <w:r w:rsidRPr="00155133">
              <w:rPr>
                <w:rFonts w:hint="eastAsia"/>
                <w:sz w:val="24"/>
                <w:szCs w:val="24"/>
                <w:lang w:eastAsia="zh-TW"/>
              </w:rPr>
              <w:t>及通過截至</w:t>
            </w:r>
            <w:r w:rsidR="00C3468A">
              <w:rPr>
                <w:sz w:val="24"/>
                <w:szCs w:val="24"/>
                <w:lang w:eastAsia="zh-TW"/>
              </w:rPr>
              <w:t>20</w:t>
            </w:r>
            <w:r w:rsidR="00DD50F0">
              <w:rPr>
                <w:sz w:val="24"/>
                <w:szCs w:val="24"/>
                <w:lang w:eastAsia="zh-TW"/>
              </w:rPr>
              <w:t>2</w:t>
            </w:r>
            <w:r w:rsidR="006C4F41">
              <w:rPr>
                <w:sz w:val="24"/>
                <w:szCs w:val="24"/>
                <w:lang w:eastAsia="zh-TW"/>
              </w:rPr>
              <w:t>2</w:t>
            </w:r>
            <w:r w:rsidRPr="00155133">
              <w:rPr>
                <w:rFonts w:hint="eastAsia"/>
                <w:sz w:val="24"/>
                <w:szCs w:val="24"/>
                <w:lang w:eastAsia="zh-TW"/>
              </w:rPr>
              <w:t>年</w:t>
            </w:r>
            <w:r w:rsidR="00DD50F0">
              <w:rPr>
                <w:rFonts w:hint="eastAsia"/>
                <w:sz w:val="24"/>
                <w:szCs w:val="24"/>
                <w:lang w:eastAsia="zh-TW"/>
              </w:rPr>
              <w:t>9</w:t>
            </w:r>
            <w:r w:rsidRPr="00155133">
              <w:rPr>
                <w:rFonts w:hint="eastAsia"/>
                <w:sz w:val="24"/>
                <w:szCs w:val="24"/>
                <w:lang w:eastAsia="zh-TW"/>
              </w:rPr>
              <w:t>月</w:t>
            </w:r>
            <w:r w:rsidRPr="00155133">
              <w:rPr>
                <w:sz w:val="24"/>
                <w:szCs w:val="24"/>
                <w:lang w:eastAsia="zh-TW"/>
              </w:rPr>
              <w:t>30</w:t>
            </w:r>
            <w:r w:rsidRPr="00155133">
              <w:rPr>
                <w:rFonts w:hint="eastAsia"/>
                <w:sz w:val="24"/>
                <w:szCs w:val="24"/>
                <w:lang w:eastAsia="zh-TW"/>
              </w:rPr>
              <w:t>日</w:t>
            </w:r>
            <w:proofErr w:type="gramStart"/>
            <w:r w:rsidRPr="00155133">
              <w:rPr>
                <w:rFonts w:hint="eastAsia"/>
                <w:sz w:val="24"/>
                <w:szCs w:val="24"/>
                <w:lang w:eastAsia="zh-TW"/>
              </w:rPr>
              <w:t>止</w:t>
            </w:r>
            <w:proofErr w:type="gramEnd"/>
            <w:r w:rsidRPr="00155133">
              <w:rPr>
                <w:rFonts w:hint="eastAsia"/>
                <w:sz w:val="24"/>
                <w:szCs w:val="24"/>
                <w:lang w:eastAsia="zh-TW"/>
              </w:rPr>
              <w:t>年度之經審核財務報表及董事會與獨立核數師報告。</w:t>
            </w:r>
          </w:p>
        </w:tc>
        <w:tc>
          <w:tcPr>
            <w:tcW w:w="1710" w:type="dxa"/>
            <w:shd w:val="clear" w:color="auto" w:fill="auto"/>
          </w:tcPr>
          <w:p w14:paraId="547AF16A"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19,749,710</w:t>
            </w:r>
          </w:p>
          <w:p w14:paraId="6C8D12EA" w14:textId="0B8C5D35" w:rsidR="006C5C00" w:rsidRPr="00155133" w:rsidRDefault="009C2D67" w:rsidP="00FC1C54">
            <w:pPr>
              <w:spacing w:after="0" w:line="240" w:lineRule="auto"/>
              <w:jc w:val="right"/>
              <w:rPr>
                <w:sz w:val="24"/>
                <w:szCs w:val="24"/>
                <w:lang w:eastAsia="zh-TW"/>
              </w:rPr>
            </w:pPr>
            <w:r w:rsidRPr="009C2D67">
              <w:rPr>
                <w:sz w:val="24"/>
                <w:szCs w:val="24"/>
                <w:lang w:eastAsia="zh-TW"/>
              </w:rPr>
              <w:t>(100%)</w:t>
            </w:r>
          </w:p>
        </w:tc>
        <w:tc>
          <w:tcPr>
            <w:tcW w:w="1458" w:type="dxa"/>
            <w:shd w:val="clear" w:color="auto" w:fill="auto"/>
          </w:tcPr>
          <w:p w14:paraId="52DB06D4" w14:textId="77777777" w:rsidR="00A578C3" w:rsidRPr="00A578C3" w:rsidRDefault="00A578C3" w:rsidP="00A578C3">
            <w:pPr>
              <w:spacing w:after="0" w:line="240" w:lineRule="auto"/>
              <w:jc w:val="right"/>
              <w:rPr>
                <w:sz w:val="24"/>
                <w:szCs w:val="24"/>
                <w:lang w:eastAsia="zh-TW"/>
              </w:rPr>
            </w:pPr>
            <w:r w:rsidRPr="00A578C3">
              <w:rPr>
                <w:sz w:val="24"/>
                <w:szCs w:val="24"/>
                <w:lang w:eastAsia="zh-TW"/>
              </w:rPr>
              <w:t>0</w:t>
            </w:r>
          </w:p>
          <w:p w14:paraId="7B1B96B6" w14:textId="37A1C54A" w:rsidR="006C5C00" w:rsidRPr="00155133" w:rsidRDefault="00A578C3" w:rsidP="00A578C3">
            <w:pPr>
              <w:spacing w:after="0" w:line="240" w:lineRule="auto"/>
              <w:jc w:val="right"/>
              <w:rPr>
                <w:sz w:val="24"/>
                <w:szCs w:val="24"/>
                <w:lang w:eastAsia="zh-TW"/>
              </w:rPr>
            </w:pPr>
            <w:r w:rsidRPr="00A578C3">
              <w:rPr>
                <w:sz w:val="24"/>
                <w:szCs w:val="24"/>
                <w:lang w:eastAsia="zh-TW"/>
              </w:rPr>
              <w:t>(0.00%)</w:t>
            </w:r>
          </w:p>
        </w:tc>
      </w:tr>
      <w:tr w:rsidR="006C5C00" w:rsidRPr="00155133" w14:paraId="442B3179" w14:textId="77777777" w:rsidTr="00155133">
        <w:tc>
          <w:tcPr>
            <w:tcW w:w="468" w:type="dxa"/>
            <w:shd w:val="clear" w:color="auto" w:fill="auto"/>
          </w:tcPr>
          <w:p w14:paraId="62E456C7" w14:textId="77777777" w:rsidR="006C5C00" w:rsidRPr="00155133" w:rsidRDefault="006C5C00" w:rsidP="00155133">
            <w:pPr>
              <w:spacing w:after="0" w:line="240" w:lineRule="auto"/>
              <w:jc w:val="both"/>
              <w:rPr>
                <w:sz w:val="24"/>
                <w:szCs w:val="24"/>
                <w:lang w:eastAsia="zh-TW"/>
              </w:rPr>
            </w:pPr>
            <w:r w:rsidRPr="00155133">
              <w:rPr>
                <w:sz w:val="24"/>
                <w:szCs w:val="24"/>
                <w:lang w:eastAsia="zh-TW"/>
              </w:rPr>
              <w:t>2.</w:t>
            </w:r>
          </w:p>
        </w:tc>
        <w:tc>
          <w:tcPr>
            <w:tcW w:w="5220" w:type="dxa"/>
            <w:shd w:val="clear" w:color="auto" w:fill="auto"/>
          </w:tcPr>
          <w:p w14:paraId="6CE1F153" w14:textId="77777777" w:rsidR="006C5C00" w:rsidRPr="00155133" w:rsidRDefault="00B47389" w:rsidP="00155133">
            <w:pPr>
              <w:spacing w:after="0" w:line="240" w:lineRule="auto"/>
              <w:jc w:val="both"/>
              <w:rPr>
                <w:sz w:val="24"/>
                <w:szCs w:val="24"/>
                <w:lang w:eastAsia="zh-TW"/>
              </w:rPr>
            </w:pPr>
            <w:r w:rsidRPr="00155133">
              <w:rPr>
                <w:rFonts w:hint="eastAsia"/>
                <w:sz w:val="24"/>
                <w:szCs w:val="24"/>
                <w:lang w:eastAsia="zh-TW"/>
              </w:rPr>
              <w:t>宣佈派發末期股息。</w:t>
            </w:r>
            <w:r w:rsidRPr="00155133">
              <w:rPr>
                <w:sz w:val="24"/>
                <w:szCs w:val="24"/>
                <w:lang w:eastAsia="zh-TW"/>
              </w:rPr>
              <w:t>(</w:t>
            </w:r>
            <w:r w:rsidRPr="00155133">
              <w:rPr>
                <w:rFonts w:hint="eastAsia"/>
                <w:sz w:val="24"/>
                <w:szCs w:val="24"/>
                <w:lang w:eastAsia="zh-TW"/>
              </w:rPr>
              <w:t>向於</w:t>
            </w:r>
            <w:r w:rsidR="00C3468A">
              <w:rPr>
                <w:sz w:val="24"/>
                <w:szCs w:val="24"/>
                <w:lang w:eastAsia="zh-TW"/>
              </w:rPr>
              <w:t>20</w:t>
            </w:r>
            <w:r w:rsidR="00B26C86">
              <w:rPr>
                <w:sz w:val="24"/>
                <w:szCs w:val="24"/>
                <w:lang w:eastAsia="zh-TW"/>
              </w:rPr>
              <w:t>2</w:t>
            </w:r>
            <w:r w:rsidR="006C4F41">
              <w:rPr>
                <w:sz w:val="24"/>
                <w:szCs w:val="24"/>
                <w:lang w:eastAsia="zh-TW"/>
              </w:rPr>
              <w:t>3</w:t>
            </w:r>
            <w:r w:rsidRPr="00155133">
              <w:rPr>
                <w:rFonts w:hint="eastAsia"/>
                <w:sz w:val="24"/>
                <w:szCs w:val="24"/>
                <w:lang w:eastAsia="zh-TW"/>
              </w:rPr>
              <w:t>年</w:t>
            </w:r>
            <w:r w:rsidR="006C4F41">
              <w:rPr>
                <w:rFonts w:hint="eastAsia"/>
                <w:sz w:val="24"/>
                <w:szCs w:val="24"/>
                <w:lang w:eastAsia="zh-TW"/>
              </w:rPr>
              <w:t>1</w:t>
            </w:r>
            <w:r w:rsidRPr="00155133">
              <w:rPr>
                <w:rFonts w:hint="eastAsia"/>
                <w:sz w:val="24"/>
                <w:szCs w:val="24"/>
                <w:lang w:eastAsia="zh-TW"/>
              </w:rPr>
              <w:t>月</w:t>
            </w:r>
            <w:r w:rsidR="006C4F41">
              <w:rPr>
                <w:rFonts w:hint="eastAsia"/>
                <w:sz w:val="24"/>
                <w:szCs w:val="24"/>
                <w:lang w:eastAsia="zh-TW"/>
              </w:rPr>
              <w:t>3</w:t>
            </w:r>
            <w:r w:rsidR="006C4F41">
              <w:rPr>
                <w:sz w:val="24"/>
                <w:szCs w:val="24"/>
                <w:lang w:eastAsia="zh-TW"/>
              </w:rPr>
              <w:t>1</w:t>
            </w:r>
            <w:r w:rsidRPr="00155133">
              <w:rPr>
                <w:rFonts w:hint="eastAsia"/>
                <w:sz w:val="24"/>
                <w:szCs w:val="24"/>
                <w:lang w:eastAsia="zh-TW"/>
              </w:rPr>
              <w:t>日已登記的股東派發末期股息每股港幣</w:t>
            </w:r>
            <w:r w:rsidR="00B26C86">
              <w:rPr>
                <w:rFonts w:hint="eastAsia"/>
                <w:sz w:val="24"/>
                <w:szCs w:val="24"/>
                <w:lang w:eastAsia="zh-TW"/>
              </w:rPr>
              <w:t>1</w:t>
            </w:r>
            <w:r w:rsidRPr="00155133">
              <w:rPr>
                <w:rFonts w:hint="eastAsia"/>
                <w:sz w:val="24"/>
                <w:szCs w:val="24"/>
                <w:lang w:eastAsia="zh-TW"/>
              </w:rPr>
              <w:t>元</w:t>
            </w:r>
            <w:r w:rsidR="00CA27F5">
              <w:rPr>
                <w:rFonts w:hint="eastAsia"/>
                <w:sz w:val="24"/>
                <w:szCs w:val="24"/>
                <w:lang w:eastAsia="zh-TW"/>
              </w:rPr>
              <w:t>8</w:t>
            </w:r>
            <w:r w:rsidRPr="00155133">
              <w:rPr>
                <w:rFonts w:hint="eastAsia"/>
                <w:sz w:val="24"/>
                <w:szCs w:val="24"/>
                <w:lang w:eastAsia="zh-TW"/>
              </w:rPr>
              <w:t>角</w:t>
            </w:r>
            <w:r w:rsidRPr="00155133">
              <w:rPr>
                <w:rFonts w:hint="eastAsia"/>
                <w:sz w:val="24"/>
                <w:szCs w:val="24"/>
                <w:lang w:eastAsia="zh-TW"/>
              </w:rPr>
              <w:t xml:space="preserve">) </w:t>
            </w:r>
          </w:p>
        </w:tc>
        <w:tc>
          <w:tcPr>
            <w:tcW w:w="1710" w:type="dxa"/>
            <w:shd w:val="clear" w:color="auto" w:fill="auto"/>
          </w:tcPr>
          <w:p w14:paraId="72AD2AB8"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19,749,710</w:t>
            </w:r>
          </w:p>
          <w:p w14:paraId="32F3DF9C" w14:textId="784CC6E2" w:rsidR="006C5C00" w:rsidRPr="00155133" w:rsidRDefault="009C2D67" w:rsidP="00FC1C54">
            <w:pPr>
              <w:spacing w:after="0" w:line="240" w:lineRule="auto"/>
              <w:jc w:val="right"/>
              <w:rPr>
                <w:sz w:val="24"/>
                <w:szCs w:val="24"/>
                <w:lang w:eastAsia="zh-TW"/>
              </w:rPr>
            </w:pPr>
            <w:r w:rsidRPr="009C2D67">
              <w:rPr>
                <w:sz w:val="24"/>
                <w:szCs w:val="24"/>
                <w:lang w:eastAsia="zh-TW"/>
              </w:rPr>
              <w:t>(100%)</w:t>
            </w:r>
          </w:p>
        </w:tc>
        <w:tc>
          <w:tcPr>
            <w:tcW w:w="1458" w:type="dxa"/>
            <w:shd w:val="clear" w:color="auto" w:fill="auto"/>
          </w:tcPr>
          <w:p w14:paraId="1240AEA3" w14:textId="77777777" w:rsidR="00A578C3" w:rsidRPr="00A578C3" w:rsidRDefault="00A578C3" w:rsidP="00A578C3">
            <w:pPr>
              <w:spacing w:after="0" w:line="240" w:lineRule="auto"/>
              <w:jc w:val="right"/>
              <w:rPr>
                <w:sz w:val="24"/>
                <w:szCs w:val="24"/>
                <w:lang w:eastAsia="zh-TW"/>
              </w:rPr>
            </w:pPr>
            <w:r w:rsidRPr="00A578C3">
              <w:rPr>
                <w:sz w:val="24"/>
                <w:szCs w:val="24"/>
                <w:lang w:eastAsia="zh-TW"/>
              </w:rPr>
              <w:t>0</w:t>
            </w:r>
          </w:p>
          <w:p w14:paraId="50D63139" w14:textId="56785664" w:rsidR="006C5C00" w:rsidRPr="00155133" w:rsidRDefault="00A578C3" w:rsidP="00A578C3">
            <w:pPr>
              <w:spacing w:after="0" w:line="240" w:lineRule="auto"/>
              <w:jc w:val="right"/>
              <w:rPr>
                <w:sz w:val="24"/>
                <w:szCs w:val="24"/>
                <w:lang w:eastAsia="zh-TW"/>
              </w:rPr>
            </w:pPr>
            <w:r w:rsidRPr="00A578C3">
              <w:rPr>
                <w:sz w:val="24"/>
                <w:szCs w:val="24"/>
                <w:lang w:eastAsia="zh-TW"/>
              </w:rPr>
              <w:t>(0.00%)</w:t>
            </w:r>
          </w:p>
        </w:tc>
      </w:tr>
      <w:tr w:rsidR="00EC70B0" w:rsidRPr="00155133" w14:paraId="227D60B6" w14:textId="77777777" w:rsidTr="00155133">
        <w:tc>
          <w:tcPr>
            <w:tcW w:w="468" w:type="dxa"/>
            <w:vMerge w:val="restart"/>
            <w:shd w:val="clear" w:color="auto" w:fill="auto"/>
          </w:tcPr>
          <w:p w14:paraId="4815B9A9" w14:textId="77777777" w:rsidR="00EC70B0" w:rsidRPr="00155133" w:rsidRDefault="00EC70B0" w:rsidP="00155133">
            <w:pPr>
              <w:spacing w:after="0" w:line="240" w:lineRule="auto"/>
              <w:jc w:val="both"/>
              <w:rPr>
                <w:sz w:val="24"/>
                <w:szCs w:val="24"/>
                <w:lang w:eastAsia="zh-TW"/>
              </w:rPr>
            </w:pPr>
            <w:r w:rsidRPr="00155133">
              <w:rPr>
                <w:sz w:val="24"/>
                <w:szCs w:val="24"/>
                <w:lang w:eastAsia="zh-TW"/>
              </w:rPr>
              <w:t>3.</w:t>
            </w:r>
          </w:p>
        </w:tc>
        <w:tc>
          <w:tcPr>
            <w:tcW w:w="5220" w:type="dxa"/>
            <w:shd w:val="clear" w:color="auto" w:fill="auto"/>
          </w:tcPr>
          <w:p w14:paraId="048065E9" w14:textId="77777777" w:rsidR="00EC70B0" w:rsidRPr="00155133" w:rsidRDefault="00EC70B0" w:rsidP="00155133">
            <w:pPr>
              <w:spacing w:after="0" w:line="240" w:lineRule="auto"/>
              <w:jc w:val="both"/>
              <w:rPr>
                <w:sz w:val="24"/>
                <w:szCs w:val="24"/>
                <w:lang w:eastAsia="zh-TW"/>
              </w:rPr>
            </w:pPr>
            <w:r w:rsidRPr="00155133">
              <w:rPr>
                <w:rFonts w:hint="eastAsia"/>
                <w:sz w:val="24"/>
                <w:szCs w:val="24"/>
                <w:lang w:eastAsia="zh-TW"/>
              </w:rPr>
              <w:t>(</w:t>
            </w:r>
            <w:proofErr w:type="spellStart"/>
            <w:r w:rsidRPr="00155133">
              <w:rPr>
                <w:rFonts w:hint="eastAsia"/>
                <w:sz w:val="24"/>
                <w:szCs w:val="24"/>
                <w:lang w:eastAsia="zh-TW"/>
              </w:rPr>
              <w:t>i</w:t>
            </w:r>
            <w:proofErr w:type="spellEnd"/>
            <w:r w:rsidRPr="00155133">
              <w:rPr>
                <w:rFonts w:hint="eastAsia"/>
                <w:sz w:val="24"/>
                <w:szCs w:val="24"/>
                <w:lang w:eastAsia="zh-TW"/>
              </w:rPr>
              <w:t xml:space="preserve">) </w:t>
            </w:r>
            <w:r w:rsidR="00CD4F5F">
              <w:rPr>
                <w:rFonts w:hint="eastAsia"/>
                <w:sz w:val="24"/>
                <w:szCs w:val="24"/>
                <w:lang w:eastAsia="zh-TW"/>
              </w:rPr>
              <w:t>重選</w:t>
            </w:r>
            <w:r w:rsidR="003513FA" w:rsidRPr="003513FA">
              <w:rPr>
                <w:rFonts w:ascii="PMingLiU" w:hAnsi="Times New Roman" w:cs="PMingLiU" w:hint="eastAsia"/>
                <w:spacing w:val="2"/>
                <w:sz w:val="24"/>
                <w:szCs w:val="24"/>
                <w:lang w:eastAsia="zh-TW"/>
              </w:rPr>
              <w:t>鍾明輝</w:t>
            </w:r>
            <w:r w:rsidR="00B26C86" w:rsidRPr="001475E0">
              <w:rPr>
                <w:rFonts w:ascii="PMingLiU" w:hAnsi="Times New Roman" w:cs="PMingLiU" w:hint="eastAsia"/>
                <w:spacing w:val="2"/>
                <w:sz w:val="24"/>
                <w:szCs w:val="24"/>
                <w:lang w:eastAsia="zh-TW"/>
              </w:rPr>
              <w:t>先生</w:t>
            </w:r>
            <w:r w:rsidRPr="00155133">
              <w:rPr>
                <w:rFonts w:hint="eastAsia"/>
                <w:sz w:val="24"/>
                <w:szCs w:val="24"/>
                <w:lang w:eastAsia="zh-TW"/>
              </w:rPr>
              <w:t>為董事。</w:t>
            </w:r>
          </w:p>
        </w:tc>
        <w:tc>
          <w:tcPr>
            <w:tcW w:w="1710" w:type="dxa"/>
            <w:shd w:val="clear" w:color="auto" w:fill="auto"/>
          </w:tcPr>
          <w:p w14:paraId="63E83A35"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19,747,910</w:t>
            </w:r>
          </w:p>
          <w:p w14:paraId="4CD24322" w14:textId="5F0E00C2" w:rsidR="00EC70B0" w:rsidRPr="00155133" w:rsidRDefault="009C2D67" w:rsidP="00FC1C54">
            <w:pPr>
              <w:spacing w:after="0" w:line="240" w:lineRule="auto"/>
              <w:jc w:val="right"/>
              <w:rPr>
                <w:sz w:val="24"/>
                <w:szCs w:val="24"/>
                <w:lang w:eastAsia="zh-TW"/>
              </w:rPr>
            </w:pPr>
            <w:r w:rsidRPr="009C2D67">
              <w:rPr>
                <w:sz w:val="24"/>
                <w:szCs w:val="24"/>
                <w:lang w:eastAsia="zh-TW"/>
              </w:rPr>
              <w:t>(99.990886%)</w:t>
            </w:r>
          </w:p>
        </w:tc>
        <w:tc>
          <w:tcPr>
            <w:tcW w:w="1458" w:type="dxa"/>
            <w:shd w:val="clear" w:color="auto" w:fill="auto"/>
          </w:tcPr>
          <w:p w14:paraId="145A9154"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1,800</w:t>
            </w:r>
          </w:p>
          <w:p w14:paraId="39663EA0" w14:textId="71860287" w:rsidR="00EC70B0" w:rsidRPr="00155133" w:rsidRDefault="00FC1C54" w:rsidP="00FC1C54">
            <w:pPr>
              <w:spacing w:after="0" w:line="240" w:lineRule="auto"/>
              <w:jc w:val="right"/>
              <w:rPr>
                <w:sz w:val="24"/>
                <w:szCs w:val="24"/>
                <w:lang w:eastAsia="zh-TW"/>
              </w:rPr>
            </w:pPr>
            <w:r w:rsidRPr="00FC1C54">
              <w:rPr>
                <w:sz w:val="24"/>
                <w:szCs w:val="24"/>
                <w:lang w:eastAsia="zh-TW"/>
              </w:rPr>
              <w:t>(0.009114%)</w:t>
            </w:r>
          </w:p>
        </w:tc>
      </w:tr>
      <w:tr w:rsidR="003513FA" w:rsidRPr="00155133" w14:paraId="2A4F2841" w14:textId="77777777" w:rsidTr="00155133">
        <w:tc>
          <w:tcPr>
            <w:tcW w:w="468" w:type="dxa"/>
            <w:vMerge/>
            <w:shd w:val="clear" w:color="auto" w:fill="auto"/>
          </w:tcPr>
          <w:p w14:paraId="3EF3DEC3" w14:textId="77777777" w:rsidR="003513FA" w:rsidRPr="00155133" w:rsidRDefault="003513FA" w:rsidP="003513FA">
            <w:pPr>
              <w:spacing w:after="0" w:line="240" w:lineRule="auto"/>
              <w:jc w:val="both"/>
              <w:rPr>
                <w:sz w:val="24"/>
                <w:szCs w:val="24"/>
                <w:lang w:eastAsia="zh-TW"/>
              </w:rPr>
            </w:pPr>
          </w:p>
        </w:tc>
        <w:tc>
          <w:tcPr>
            <w:tcW w:w="5220" w:type="dxa"/>
            <w:shd w:val="clear" w:color="auto" w:fill="auto"/>
          </w:tcPr>
          <w:p w14:paraId="2CB5C4F8" w14:textId="53194513" w:rsidR="003513FA" w:rsidRPr="00155133" w:rsidRDefault="003513FA" w:rsidP="003513FA">
            <w:pPr>
              <w:spacing w:after="0" w:line="240" w:lineRule="auto"/>
              <w:jc w:val="both"/>
              <w:rPr>
                <w:sz w:val="24"/>
                <w:szCs w:val="24"/>
                <w:lang w:eastAsia="zh-TW"/>
              </w:rPr>
            </w:pPr>
            <w:r w:rsidRPr="00155133">
              <w:rPr>
                <w:rFonts w:hint="eastAsia"/>
                <w:sz w:val="24"/>
                <w:szCs w:val="24"/>
                <w:lang w:eastAsia="zh-TW"/>
              </w:rPr>
              <w:t>(</w:t>
            </w:r>
            <w:r>
              <w:rPr>
                <w:sz w:val="24"/>
                <w:szCs w:val="24"/>
                <w:lang w:eastAsia="zh-TW"/>
              </w:rPr>
              <w:t>ii</w:t>
            </w:r>
            <w:r w:rsidRPr="00155133">
              <w:rPr>
                <w:rFonts w:hint="eastAsia"/>
                <w:sz w:val="24"/>
                <w:szCs w:val="24"/>
                <w:lang w:eastAsia="zh-TW"/>
              </w:rPr>
              <w:t xml:space="preserve">) </w:t>
            </w:r>
            <w:r>
              <w:rPr>
                <w:rFonts w:hint="eastAsia"/>
                <w:sz w:val="24"/>
                <w:szCs w:val="24"/>
                <w:lang w:eastAsia="zh-TW"/>
              </w:rPr>
              <w:t>重選</w:t>
            </w:r>
            <w:r w:rsidR="00D30AFB" w:rsidRPr="00D30AFB">
              <w:rPr>
                <w:rFonts w:hint="eastAsia"/>
                <w:sz w:val="24"/>
                <w:szCs w:val="24"/>
                <w:lang w:eastAsia="zh-TW"/>
              </w:rPr>
              <w:t>曾安業</w:t>
            </w:r>
            <w:r w:rsidRPr="001475E0">
              <w:rPr>
                <w:rFonts w:ascii="PMingLiU" w:hAnsi="Times New Roman" w:cs="PMingLiU" w:hint="eastAsia"/>
                <w:spacing w:val="2"/>
                <w:sz w:val="24"/>
                <w:szCs w:val="24"/>
                <w:lang w:eastAsia="zh-TW"/>
              </w:rPr>
              <w:t>先生</w:t>
            </w:r>
            <w:r w:rsidRPr="00155133">
              <w:rPr>
                <w:rFonts w:hint="eastAsia"/>
                <w:sz w:val="24"/>
                <w:szCs w:val="24"/>
                <w:lang w:eastAsia="zh-TW"/>
              </w:rPr>
              <w:t>為董事。</w:t>
            </w:r>
          </w:p>
        </w:tc>
        <w:tc>
          <w:tcPr>
            <w:tcW w:w="1710" w:type="dxa"/>
            <w:shd w:val="clear" w:color="auto" w:fill="auto"/>
          </w:tcPr>
          <w:p w14:paraId="76387F5B"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19,703,910</w:t>
            </w:r>
          </w:p>
          <w:p w14:paraId="545227AC" w14:textId="707AC582" w:rsidR="003513FA" w:rsidRPr="00155133" w:rsidRDefault="009C2D67" w:rsidP="00FC1C54">
            <w:pPr>
              <w:spacing w:after="0" w:line="240" w:lineRule="auto"/>
              <w:jc w:val="right"/>
              <w:rPr>
                <w:sz w:val="24"/>
                <w:szCs w:val="24"/>
                <w:lang w:eastAsia="zh-TW"/>
              </w:rPr>
            </w:pPr>
            <w:r w:rsidRPr="009C2D67">
              <w:rPr>
                <w:sz w:val="24"/>
                <w:szCs w:val="24"/>
                <w:lang w:eastAsia="zh-TW"/>
              </w:rPr>
              <w:t>(99.768098%)</w:t>
            </w:r>
          </w:p>
        </w:tc>
        <w:tc>
          <w:tcPr>
            <w:tcW w:w="1458" w:type="dxa"/>
            <w:shd w:val="clear" w:color="auto" w:fill="auto"/>
          </w:tcPr>
          <w:p w14:paraId="480C76CD"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45,800</w:t>
            </w:r>
          </w:p>
          <w:p w14:paraId="6EC8D98F" w14:textId="213683A5" w:rsidR="003513FA" w:rsidRPr="00155133" w:rsidRDefault="00FC1C54" w:rsidP="00FC1C54">
            <w:pPr>
              <w:spacing w:after="0" w:line="240" w:lineRule="auto"/>
              <w:jc w:val="right"/>
              <w:rPr>
                <w:sz w:val="24"/>
                <w:szCs w:val="24"/>
                <w:lang w:eastAsia="zh-TW"/>
              </w:rPr>
            </w:pPr>
            <w:r w:rsidRPr="00FC1C54">
              <w:rPr>
                <w:sz w:val="24"/>
                <w:szCs w:val="24"/>
                <w:lang w:eastAsia="zh-TW"/>
              </w:rPr>
              <w:t>(0.231902%)</w:t>
            </w:r>
          </w:p>
        </w:tc>
      </w:tr>
      <w:tr w:rsidR="003513FA" w:rsidRPr="00155133" w14:paraId="4227F0B3" w14:textId="77777777" w:rsidTr="00155133">
        <w:tc>
          <w:tcPr>
            <w:tcW w:w="468" w:type="dxa"/>
            <w:vMerge/>
            <w:shd w:val="clear" w:color="auto" w:fill="auto"/>
          </w:tcPr>
          <w:p w14:paraId="39C80F45" w14:textId="77777777" w:rsidR="003513FA" w:rsidRPr="00155133" w:rsidRDefault="003513FA" w:rsidP="003513FA">
            <w:pPr>
              <w:spacing w:after="0" w:line="240" w:lineRule="auto"/>
              <w:jc w:val="both"/>
              <w:rPr>
                <w:sz w:val="24"/>
                <w:szCs w:val="24"/>
                <w:lang w:eastAsia="zh-TW"/>
              </w:rPr>
            </w:pPr>
          </w:p>
        </w:tc>
        <w:tc>
          <w:tcPr>
            <w:tcW w:w="5220" w:type="dxa"/>
            <w:shd w:val="clear" w:color="auto" w:fill="auto"/>
          </w:tcPr>
          <w:p w14:paraId="4AFE92BF" w14:textId="40B1C258" w:rsidR="003513FA" w:rsidRPr="00155133" w:rsidRDefault="003513FA" w:rsidP="003513FA">
            <w:pPr>
              <w:spacing w:after="0" w:line="240" w:lineRule="auto"/>
              <w:jc w:val="both"/>
              <w:rPr>
                <w:sz w:val="24"/>
                <w:szCs w:val="24"/>
                <w:lang w:eastAsia="zh-TW"/>
              </w:rPr>
            </w:pPr>
            <w:r w:rsidRPr="00155133">
              <w:rPr>
                <w:sz w:val="24"/>
                <w:szCs w:val="24"/>
                <w:lang w:eastAsia="zh-TW"/>
              </w:rPr>
              <w:t>(ii</w:t>
            </w:r>
            <w:r>
              <w:rPr>
                <w:sz w:val="24"/>
                <w:szCs w:val="24"/>
                <w:lang w:eastAsia="zh-TW"/>
              </w:rPr>
              <w:t>i</w:t>
            </w:r>
            <w:r w:rsidRPr="00155133">
              <w:rPr>
                <w:sz w:val="24"/>
                <w:szCs w:val="24"/>
                <w:lang w:eastAsia="zh-TW"/>
              </w:rPr>
              <w:t xml:space="preserve">) </w:t>
            </w:r>
            <w:r>
              <w:rPr>
                <w:rFonts w:hint="eastAsia"/>
                <w:sz w:val="24"/>
                <w:szCs w:val="24"/>
                <w:lang w:eastAsia="zh-TW"/>
              </w:rPr>
              <w:t>重選</w:t>
            </w:r>
            <w:r w:rsidR="00D30AFB" w:rsidRPr="00D30AFB">
              <w:rPr>
                <w:rFonts w:hint="eastAsia"/>
                <w:sz w:val="24"/>
                <w:szCs w:val="24"/>
                <w:lang w:eastAsia="zh-TW"/>
              </w:rPr>
              <w:t>鍾慧書</w:t>
            </w:r>
            <w:r w:rsidRPr="001475E0">
              <w:rPr>
                <w:rFonts w:ascii="PMingLiU" w:hAnsi="Times New Roman" w:cs="PMingLiU" w:hint="eastAsia"/>
                <w:spacing w:val="2"/>
                <w:sz w:val="24"/>
                <w:szCs w:val="24"/>
                <w:lang w:eastAsia="zh-TW"/>
              </w:rPr>
              <w:t>先生</w:t>
            </w:r>
            <w:r w:rsidRPr="00155133">
              <w:rPr>
                <w:rFonts w:hint="eastAsia"/>
                <w:sz w:val="24"/>
                <w:szCs w:val="24"/>
                <w:lang w:eastAsia="zh-TW"/>
              </w:rPr>
              <w:t>為董事。</w:t>
            </w:r>
          </w:p>
        </w:tc>
        <w:tc>
          <w:tcPr>
            <w:tcW w:w="1710" w:type="dxa"/>
            <w:shd w:val="clear" w:color="auto" w:fill="auto"/>
          </w:tcPr>
          <w:p w14:paraId="5801C237"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19,747,910</w:t>
            </w:r>
          </w:p>
          <w:p w14:paraId="23508A92" w14:textId="5684A826" w:rsidR="003513FA" w:rsidRPr="00155133" w:rsidRDefault="009C2D67" w:rsidP="00FC1C54">
            <w:pPr>
              <w:spacing w:after="0" w:line="240" w:lineRule="auto"/>
              <w:jc w:val="right"/>
              <w:rPr>
                <w:sz w:val="24"/>
                <w:szCs w:val="24"/>
                <w:lang w:eastAsia="zh-TW"/>
              </w:rPr>
            </w:pPr>
            <w:r w:rsidRPr="009C2D67">
              <w:rPr>
                <w:sz w:val="24"/>
                <w:szCs w:val="24"/>
                <w:lang w:eastAsia="zh-TW"/>
              </w:rPr>
              <w:t>(99.990886%)</w:t>
            </w:r>
          </w:p>
        </w:tc>
        <w:tc>
          <w:tcPr>
            <w:tcW w:w="1458" w:type="dxa"/>
            <w:shd w:val="clear" w:color="auto" w:fill="auto"/>
          </w:tcPr>
          <w:p w14:paraId="64A6F5F8"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1,800</w:t>
            </w:r>
          </w:p>
          <w:p w14:paraId="63E0CD11" w14:textId="743719C3" w:rsidR="003513FA" w:rsidRPr="00155133" w:rsidRDefault="00FC1C54" w:rsidP="00FC1C54">
            <w:pPr>
              <w:spacing w:after="0" w:line="240" w:lineRule="auto"/>
              <w:jc w:val="right"/>
              <w:rPr>
                <w:sz w:val="24"/>
                <w:szCs w:val="24"/>
                <w:lang w:eastAsia="zh-TW"/>
              </w:rPr>
            </w:pPr>
            <w:r w:rsidRPr="00FC1C54">
              <w:rPr>
                <w:sz w:val="24"/>
                <w:szCs w:val="24"/>
                <w:lang w:eastAsia="zh-TW"/>
              </w:rPr>
              <w:t>(0.009114%)</w:t>
            </w:r>
          </w:p>
        </w:tc>
      </w:tr>
      <w:tr w:rsidR="003513FA" w:rsidRPr="00155133" w14:paraId="3B0A09A1" w14:textId="77777777" w:rsidTr="00155133">
        <w:tc>
          <w:tcPr>
            <w:tcW w:w="468" w:type="dxa"/>
            <w:vMerge/>
            <w:shd w:val="clear" w:color="auto" w:fill="auto"/>
          </w:tcPr>
          <w:p w14:paraId="1149CF9B" w14:textId="77777777" w:rsidR="003513FA" w:rsidRPr="00155133" w:rsidRDefault="003513FA" w:rsidP="003513FA">
            <w:pPr>
              <w:spacing w:after="0" w:line="240" w:lineRule="auto"/>
              <w:jc w:val="both"/>
              <w:rPr>
                <w:sz w:val="24"/>
                <w:szCs w:val="24"/>
                <w:lang w:eastAsia="zh-TW"/>
              </w:rPr>
            </w:pPr>
          </w:p>
        </w:tc>
        <w:tc>
          <w:tcPr>
            <w:tcW w:w="5220" w:type="dxa"/>
            <w:shd w:val="clear" w:color="auto" w:fill="auto"/>
          </w:tcPr>
          <w:p w14:paraId="57AE3936" w14:textId="77777777" w:rsidR="003513FA" w:rsidRPr="00155133" w:rsidRDefault="003513FA" w:rsidP="003513FA">
            <w:pPr>
              <w:spacing w:after="0" w:line="240" w:lineRule="auto"/>
              <w:jc w:val="both"/>
              <w:rPr>
                <w:sz w:val="24"/>
                <w:szCs w:val="24"/>
                <w:lang w:eastAsia="zh-TW"/>
              </w:rPr>
            </w:pPr>
            <w:r w:rsidRPr="00155133">
              <w:rPr>
                <w:sz w:val="24"/>
                <w:szCs w:val="24"/>
                <w:lang w:eastAsia="zh-TW"/>
              </w:rPr>
              <w:t>(i</w:t>
            </w:r>
            <w:r>
              <w:rPr>
                <w:sz w:val="24"/>
                <w:szCs w:val="24"/>
                <w:lang w:eastAsia="zh-TW"/>
              </w:rPr>
              <w:t>v</w:t>
            </w:r>
            <w:r w:rsidRPr="00155133">
              <w:rPr>
                <w:sz w:val="24"/>
                <w:szCs w:val="24"/>
                <w:lang w:eastAsia="zh-TW"/>
              </w:rPr>
              <w:t xml:space="preserve">) </w:t>
            </w:r>
            <w:r>
              <w:rPr>
                <w:rFonts w:hint="eastAsia"/>
                <w:sz w:val="24"/>
                <w:szCs w:val="24"/>
                <w:lang w:eastAsia="zh-TW"/>
              </w:rPr>
              <w:t>重選</w:t>
            </w:r>
            <w:r w:rsidRPr="001475E0">
              <w:rPr>
                <w:rFonts w:ascii="PMingLiU" w:hAnsi="Times New Roman" w:cs="PMingLiU" w:hint="eastAsia"/>
                <w:spacing w:val="2"/>
                <w:sz w:val="24"/>
                <w:szCs w:val="24"/>
                <w:lang w:eastAsia="zh-TW"/>
              </w:rPr>
              <w:t>盧伯韶先生</w:t>
            </w:r>
            <w:r w:rsidRPr="00155133">
              <w:rPr>
                <w:rFonts w:hint="eastAsia"/>
                <w:sz w:val="24"/>
                <w:szCs w:val="24"/>
                <w:lang w:eastAsia="zh-TW"/>
              </w:rPr>
              <w:t>為董事。</w:t>
            </w:r>
          </w:p>
        </w:tc>
        <w:tc>
          <w:tcPr>
            <w:tcW w:w="1710" w:type="dxa"/>
            <w:shd w:val="clear" w:color="auto" w:fill="auto"/>
          </w:tcPr>
          <w:p w14:paraId="6339FE5C"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19,747,910</w:t>
            </w:r>
          </w:p>
          <w:p w14:paraId="51D5A688" w14:textId="42DFF540" w:rsidR="003513FA" w:rsidRPr="00155133" w:rsidRDefault="009C2D67" w:rsidP="00FC1C54">
            <w:pPr>
              <w:spacing w:after="0" w:line="240" w:lineRule="auto"/>
              <w:jc w:val="right"/>
              <w:rPr>
                <w:sz w:val="24"/>
                <w:szCs w:val="24"/>
                <w:lang w:eastAsia="zh-TW"/>
              </w:rPr>
            </w:pPr>
            <w:r w:rsidRPr="009C2D67">
              <w:rPr>
                <w:sz w:val="24"/>
                <w:szCs w:val="24"/>
                <w:lang w:eastAsia="zh-TW"/>
              </w:rPr>
              <w:lastRenderedPageBreak/>
              <w:t>(99.990886%)</w:t>
            </w:r>
          </w:p>
        </w:tc>
        <w:tc>
          <w:tcPr>
            <w:tcW w:w="1458" w:type="dxa"/>
            <w:shd w:val="clear" w:color="auto" w:fill="auto"/>
          </w:tcPr>
          <w:p w14:paraId="6F964233"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lastRenderedPageBreak/>
              <w:t>1,800</w:t>
            </w:r>
          </w:p>
          <w:p w14:paraId="0C62880D" w14:textId="7276834E" w:rsidR="003513FA" w:rsidRPr="00155133" w:rsidRDefault="00FC1C54" w:rsidP="00FC1C54">
            <w:pPr>
              <w:spacing w:after="0" w:line="240" w:lineRule="auto"/>
              <w:jc w:val="right"/>
              <w:rPr>
                <w:sz w:val="24"/>
                <w:szCs w:val="24"/>
                <w:lang w:eastAsia="zh-TW"/>
              </w:rPr>
            </w:pPr>
            <w:r w:rsidRPr="00FC1C54">
              <w:rPr>
                <w:sz w:val="24"/>
                <w:szCs w:val="24"/>
                <w:lang w:eastAsia="zh-TW"/>
              </w:rPr>
              <w:lastRenderedPageBreak/>
              <w:t>(0.009114%)</w:t>
            </w:r>
          </w:p>
        </w:tc>
      </w:tr>
      <w:tr w:rsidR="003513FA" w:rsidRPr="00155133" w14:paraId="41677CCC" w14:textId="77777777" w:rsidTr="00155133">
        <w:tc>
          <w:tcPr>
            <w:tcW w:w="468" w:type="dxa"/>
            <w:vMerge/>
            <w:shd w:val="clear" w:color="auto" w:fill="auto"/>
          </w:tcPr>
          <w:p w14:paraId="0B203417" w14:textId="77777777" w:rsidR="003513FA" w:rsidRPr="00155133" w:rsidRDefault="003513FA" w:rsidP="003513FA">
            <w:pPr>
              <w:spacing w:after="0" w:line="240" w:lineRule="auto"/>
              <w:jc w:val="both"/>
              <w:rPr>
                <w:sz w:val="24"/>
                <w:szCs w:val="24"/>
                <w:lang w:eastAsia="zh-TW"/>
              </w:rPr>
            </w:pPr>
          </w:p>
        </w:tc>
        <w:tc>
          <w:tcPr>
            <w:tcW w:w="5220" w:type="dxa"/>
            <w:shd w:val="clear" w:color="auto" w:fill="auto"/>
          </w:tcPr>
          <w:p w14:paraId="6D7B1E95" w14:textId="77777777" w:rsidR="003513FA" w:rsidRPr="00155133" w:rsidRDefault="003513FA" w:rsidP="003513FA">
            <w:pPr>
              <w:spacing w:after="0" w:line="240" w:lineRule="auto"/>
              <w:jc w:val="both"/>
              <w:rPr>
                <w:sz w:val="24"/>
                <w:szCs w:val="24"/>
                <w:lang w:eastAsia="zh-TW"/>
              </w:rPr>
            </w:pPr>
            <w:r>
              <w:rPr>
                <w:sz w:val="24"/>
                <w:szCs w:val="24"/>
                <w:lang w:eastAsia="zh-TW"/>
              </w:rPr>
              <w:t xml:space="preserve">(v) </w:t>
            </w:r>
            <w:r>
              <w:rPr>
                <w:rFonts w:hint="eastAsia"/>
                <w:sz w:val="24"/>
                <w:szCs w:val="24"/>
                <w:lang w:eastAsia="zh-TW"/>
              </w:rPr>
              <w:t>重選</w:t>
            </w:r>
            <w:r w:rsidRPr="001475E0">
              <w:rPr>
                <w:rFonts w:ascii="PMingLiU" w:hAnsi="Times New Roman" w:cs="PMingLiU" w:hint="eastAsia"/>
                <w:spacing w:val="2"/>
                <w:sz w:val="24"/>
                <w:szCs w:val="24"/>
                <w:lang w:eastAsia="zh-TW"/>
              </w:rPr>
              <w:t>阮錫明</w:t>
            </w:r>
            <w:r w:rsidRPr="001475E0">
              <w:rPr>
                <w:rFonts w:ascii="PMingLiU" w:hAnsi="Times New Roman" w:cs="PMingLiU"/>
                <w:spacing w:val="2"/>
                <w:sz w:val="24"/>
                <w:szCs w:val="24"/>
                <w:lang w:eastAsia="zh-TW"/>
              </w:rPr>
              <w:t>先</w:t>
            </w:r>
            <w:r w:rsidRPr="001475E0">
              <w:rPr>
                <w:rFonts w:ascii="PMingLiU" w:hAnsi="Times New Roman" w:cs="PMingLiU" w:hint="eastAsia"/>
                <w:spacing w:val="2"/>
                <w:sz w:val="24"/>
                <w:szCs w:val="24"/>
                <w:lang w:eastAsia="zh-TW"/>
              </w:rPr>
              <w:t>生</w:t>
            </w:r>
            <w:r w:rsidRPr="00155133">
              <w:rPr>
                <w:rFonts w:hint="eastAsia"/>
                <w:sz w:val="24"/>
                <w:szCs w:val="24"/>
                <w:lang w:eastAsia="zh-TW"/>
              </w:rPr>
              <w:t>為董事。</w:t>
            </w:r>
          </w:p>
        </w:tc>
        <w:tc>
          <w:tcPr>
            <w:tcW w:w="1710" w:type="dxa"/>
            <w:shd w:val="clear" w:color="auto" w:fill="auto"/>
          </w:tcPr>
          <w:p w14:paraId="7E5846A9"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19,747,910</w:t>
            </w:r>
          </w:p>
          <w:p w14:paraId="27513E3B" w14:textId="1B9BB22A" w:rsidR="003513FA" w:rsidRPr="00155133" w:rsidRDefault="009C2D67" w:rsidP="00FC1C54">
            <w:pPr>
              <w:spacing w:after="0" w:line="240" w:lineRule="auto"/>
              <w:jc w:val="right"/>
              <w:rPr>
                <w:sz w:val="24"/>
                <w:szCs w:val="24"/>
                <w:lang w:eastAsia="zh-TW"/>
              </w:rPr>
            </w:pPr>
            <w:r w:rsidRPr="009C2D67">
              <w:rPr>
                <w:sz w:val="24"/>
                <w:szCs w:val="24"/>
                <w:lang w:eastAsia="zh-TW"/>
              </w:rPr>
              <w:t>(99.990886%)</w:t>
            </w:r>
          </w:p>
        </w:tc>
        <w:tc>
          <w:tcPr>
            <w:tcW w:w="1458" w:type="dxa"/>
            <w:shd w:val="clear" w:color="auto" w:fill="auto"/>
          </w:tcPr>
          <w:p w14:paraId="7EBEE255"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1,800</w:t>
            </w:r>
          </w:p>
          <w:p w14:paraId="72CD19E6" w14:textId="7BFDD834" w:rsidR="003513FA" w:rsidRPr="00155133" w:rsidRDefault="00FC1C54" w:rsidP="00FC1C54">
            <w:pPr>
              <w:spacing w:after="0" w:line="240" w:lineRule="auto"/>
              <w:jc w:val="right"/>
              <w:rPr>
                <w:sz w:val="24"/>
                <w:szCs w:val="24"/>
                <w:lang w:eastAsia="zh-TW"/>
              </w:rPr>
            </w:pPr>
            <w:r w:rsidRPr="00FC1C54">
              <w:rPr>
                <w:sz w:val="24"/>
                <w:szCs w:val="24"/>
                <w:lang w:eastAsia="zh-TW"/>
              </w:rPr>
              <w:t>(0.009114%)</w:t>
            </w:r>
          </w:p>
        </w:tc>
      </w:tr>
      <w:tr w:rsidR="003513FA" w:rsidRPr="00155133" w14:paraId="339FC046" w14:textId="77777777" w:rsidTr="00155133">
        <w:tc>
          <w:tcPr>
            <w:tcW w:w="468" w:type="dxa"/>
            <w:vMerge/>
            <w:shd w:val="clear" w:color="auto" w:fill="auto"/>
          </w:tcPr>
          <w:p w14:paraId="3A2B7BD8" w14:textId="77777777" w:rsidR="003513FA" w:rsidRPr="00155133" w:rsidRDefault="003513FA" w:rsidP="003513FA">
            <w:pPr>
              <w:spacing w:after="0" w:line="240" w:lineRule="auto"/>
              <w:jc w:val="both"/>
              <w:rPr>
                <w:sz w:val="24"/>
                <w:szCs w:val="24"/>
                <w:lang w:eastAsia="zh-TW"/>
              </w:rPr>
            </w:pPr>
          </w:p>
        </w:tc>
        <w:tc>
          <w:tcPr>
            <w:tcW w:w="5220" w:type="dxa"/>
            <w:shd w:val="clear" w:color="auto" w:fill="auto"/>
          </w:tcPr>
          <w:p w14:paraId="313AF03A" w14:textId="77777777" w:rsidR="003513FA" w:rsidRPr="00155133" w:rsidRDefault="003513FA" w:rsidP="003513FA">
            <w:pPr>
              <w:spacing w:after="0" w:line="240" w:lineRule="auto"/>
              <w:jc w:val="both"/>
              <w:rPr>
                <w:sz w:val="24"/>
                <w:szCs w:val="24"/>
                <w:lang w:eastAsia="zh-TW"/>
              </w:rPr>
            </w:pPr>
            <w:r>
              <w:rPr>
                <w:sz w:val="24"/>
                <w:szCs w:val="24"/>
                <w:lang w:eastAsia="zh-TW"/>
              </w:rPr>
              <w:t>(vi</w:t>
            </w:r>
            <w:r w:rsidRPr="00155133">
              <w:rPr>
                <w:sz w:val="24"/>
                <w:szCs w:val="24"/>
                <w:lang w:eastAsia="zh-TW"/>
              </w:rPr>
              <w:t xml:space="preserve">) </w:t>
            </w:r>
            <w:r w:rsidRPr="00155133">
              <w:rPr>
                <w:rFonts w:hint="eastAsia"/>
                <w:sz w:val="24"/>
                <w:szCs w:val="24"/>
                <w:lang w:eastAsia="zh-TW"/>
              </w:rPr>
              <w:t>授權董事會釐定董事酬金。</w:t>
            </w:r>
          </w:p>
        </w:tc>
        <w:tc>
          <w:tcPr>
            <w:tcW w:w="1710" w:type="dxa"/>
            <w:shd w:val="clear" w:color="auto" w:fill="auto"/>
          </w:tcPr>
          <w:p w14:paraId="59DB2331"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19,747,910</w:t>
            </w:r>
          </w:p>
          <w:p w14:paraId="3D1EA3FB" w14:textId="46E1E6FE" w:rsidR="003513FA" w:rsidRPr="00155133" w:rsidRDefault="009C2D67" w:rsidP="00FC1C54">
            <w:pPr>
              <w:spacing w:after="0" w:line="240" w:lineRule="auto"/>
              <w:jc w:val="right"/>
              <w:rPr>
                <w:sz w:val="24"/>
                <w:szCs w:val="24"/>
                <w:lang w:eastAsia="zh-TW"/>
              </w:rPr>
            </w:pPr>
            <w:r w:rsidRPr="009C2D67">
              <w:rPr>
                <w:sz w:val="24"/>
                <w:szCs w:val="24"/>
                <w:lang w:eastAsia="zh-TW"/>
              </w:rPr>
              <w:t>(99.990886%)</w:t>
            </w:r>
          </w:p>
        </w:tc>
        <w:tc>
          <w:tcPr>
            <w:tcW w:w="1458" w:type="dxa"/>
            <w:shd w:val="clear" w:color="auto" w:fill="auto"/>
          </w:tcPr>
          <w:p w14:paraId="5591F6E4"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1,800</w:t>
            </w:r>
          </w:p>
          <w:p w14:paraId="5B85B5E4" w14:textId="5BB972DA" w:rsidR="003513FA" w:rsidRPr="00155133" w:rsidRDefault="00FC1C54" w:rsidP="00FC1C54">
            <w:pPr>
              <w:spacing w:after="0" w:line="240" w:lineRule="auto"/>
              <w:jc w:val="right"/>
              <w:rPr>
                <w:sz w:val="24"/>
                <w:szCs w:val="24"/>
                <w:lang w:eastAsia="zh-TW"/>
              </w:rPr>
            </w:pPr>
            <w:r w:rsidRPr="00FC1C54">
              <w:rPr>
                <w:sz w:val="24"/>
                <w:szCs w:val="24"/>
                <w:lang w:eastAsia="zh-TW"/>
              </w:rPr>
              <w:t>(0.009114%)</w:t>
            </w:r>
          </w:p>
        </w:tc>
      </w:tr>
      <w:tr w:rsidR="003513FA" w:rsidRPr="00155133" w14:paraId="65E6B70C" w14:textId="77777777" w:rsidTr="00155133">
        <w:tc>
          <w:tcPr>
            <w:tcW w:w="468" w:type="dxa"/>
            <w:shd w:val="clear" w:color="auto" w:fill="auto"/>
          </w:tcPr>
          <w:p w14:paraId="12A00C1C" w14:textId="77777777" w:rsidR="003513FA" w:rsidRPr="00155133" w:rsidRDefault="003513FA" w:rsidP="003513FA">
            <w:pPr>
              <w:spacing w:after="0" w:line="240" w:lineRule="auto"/>
              <w:jc w:val="both"/>
              <w:rPr>
                <w:sz w:val="24"/>
                <w:szCs w:val="24"/>
                <w:lang w:eastAsia="zh-TW"/>
              </w:rPr>
            </w:pPr>
            <w:r w:rsidRPr="00155133">
              <w:rPr>
                <w:sz w:val="24"/>
                <w:szCs w:val="24"/>
                <w:lang w:eastAsia="zh-TW"/>
              </w:rPr>
              <w:t>4.</w:t>
            </w:r>
          </w:p>
        </w:tc>
        <w:tc>
          <w:tcPr>
            <w:tcW w:w="5220" w:type="dxa"/>
            <w:shd w:val="clear" w:color="auto" w:fill="auto"/>
          </w:tcPr>
          <w:p w14:paraId="20FD3703" w14:textId="77777777" w:rsidR="003513FA" w:rsidRPr="00155133" w:rsidRDefault="003513FA" w:rsidP="003513FA">
            <w:pPr>
              <w:spacing w:after="0" w:line="240" w:lineRule="auto"/>
              <w:jc w:val="both"/>
              <w:rPr>
                <w:sz w:val="24"/>
                <w:szCs w:val="24"/>
                <w:lang w:eastAsia="zh-TW"/>
              </w:rPr>
            </w:pPr>
            <w:r w:rsidRPr="00155133">
              <w:rPr>
                <w:rFonts w:hint="eastAsia"/>
                <w:sz w:val="24"/>
                <w:szCs w:val="24"/>
                <w:lang w:eastAsia="zh-TW"/>
              </w:rPr>
              <w:t>重新委</w:t>
            </w:r>
            <w:proofErr w:type="gramStart"/>
            <w:r w:rsidRPr="00155133">
              <w:rPr>
                <w:rFonts w:hint="eastAsia"/>
                <w:sz w:val="24"/>
                <w:szCs w:val="24"/>
                <w:lang w:eastAsia="zh-TW"/>
              </w:rPr>
              <w:t>聘羅兵咸永道</w:t>
            </w:r>
            <w:proofErr w:type="gramEnd"/>
            <w:r w:rsidRPr="00155133">
              <w:rPr>
                <w:rFonts w:hint="eastAsia"/>
                <w:sz w:val="24"/>
                <w:szCs w:val="24"/>
                <w:lang w:eastAsia="zh-TW"/>
              </w:rPr>
              <w:t>會計師事務所為</w:t>
            </w:r>
            <w:r>
              <w:rPr>
                <w:rFonts w:hint="eastAsia"/>
                <w:sz w:val="24"/>
                <w:szCs w:val="24"/>
                <w:lang w:eastAsia="zh-TW"/>
              </w:rPr>
              <w:t>獨立</w:t>
            </w:r>
            <w:r w:rsidRPr="00155133">
              <w:rPr>
                <w:rFonts w:hint="eastAsia"/>
                <w:sz w:val="24"/>
                <w:szCs w:val="24"/>
                <w:lang w:eastAsia="zh-TW"/>
              </w:rPr>
              <w:t>核數師並授權董事會釐定其酬金。</w:t>
            </w:r>
          </w:p>
        </w:tc>
        <w:tc>
          <w:tcPr>
            <w:tcW w:w="1710" w:type="dxa"/>
            <w:shd w:val="clear" w:color="auto" w:fill="auto"/>
          </w:tcPr>
          <w:p w14:paraId="38086C48"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19,749,710</w:t>
            </w:r>
          </w:p>
          <w:p w14:paraId="2D342158" w14:textId="362EE192" w:rsidR="003513FA" w:rsidRPr="00155133" w:rsidRDefault="009C2D67" w:rsidP="00FC1C54">
            <w:pPr>
              <w:spacing w:after="0" w:line="240" w:lineRule="auto"/>
              <w:jc w:val="right"/>
              <w:rPr>
                <w:sz w:val="24"/>
                <w:szCs w:val="24"/>
                <w:lang w:eastAsia="zh-TW"/>
              </w:rPr>
            </w:pPr>
            <w:r w:rsidRPr="009C2D67">
              <w:rPr>
                <w:sz w:val="24"/>
                <w:szCs w:val="24"/>
                <w:lang w:eastAsia="zh-TW"/>
              </w:rPr>
              <w:t>(100%)</w:t>
            </w:r>
          </w:p>
        </w:tc>
        <w:tc>
          <w:tcPr>
            <w:tcW w:w="1458" w:type="dxa"/>
            <w:shd w:val="clear" w:color="auto" w:fill="auto"/>
          </w:tcPr>
          <w:p w14:paraId="7C46A348" w14:textId="77777777" w:rsidR="003513FA" w:rsidRDefault="00FC1C54" w:rsidP="00FC1C54">
            <w:pPr>
              <w:spacing w:after="0" w:line="240" w:lineRule="auto"/>
              <w:jc w:val="right"/>
              <w:rPr>
                <w:sz w:val="24"/>
                <w:szCs w:val="24"/>
                <w:lang w:eastAsia="zh-TW"/>
              </w:rPr>
            </w:pPr>
            <w:r>
              <w:rPr>
                <w:sz w:val="24"/>
                <w:szCs w:val="24"/>
                <w:lang w:eastAsia="zh-TW"/>
              </w:rPr>
              <w:t>0</w:t>
            </w:r>
          </w:p>
          <w:p w14:paraId="43EFE9BC" w14:textId="72458F32" w:rsidR="00A578C3" w:rsidRPr="00155133" w:rsidRDefault="00A578C3" w:rsidP="00FC1C54">
            <w:pPr>
              <w:spacing w:after="0" w:line="240" w:lineRule="auto"/>
              <w:jc w:val="right"/>
              <w:rPr>
                <w:sz w:val="24"/>
                <w:szCs w:val="24"/>
                <w:lang w:eastAsia="zh-TW"/>
              </w:rPr>
            </w:pPr>
            <w:r>
              <w:rPr>
                <w:sz w:val="24"/>
                <w:szCs w:val="24"/>
                <w:lang w:eastAsia="zh-TW"/>
              </w:rPr>
              <w:t>(0.00%)</w:t>
            </w:r>
          </w:p>
        </w:tc>
      </w:tr>
      <w:tr w:rsidR="003513FA" w:rsidRPr="00155133" w14:paraId="45E3B4EB" w14:textId="77777777" w:rsidTr="00CD73B7">
        <w:tc>
          <w:tcPr>
            <w:tcW w:w="468" w:type="dxa"/>
            <w:shd w:val="clear" w:color="auto" w:fill="auto"/>
          </w:tcPr>
          <w:p w14:paraId="5F093AD3" w14:textId="77777777" w:rsidR="003513FA" w:rsidRPr="00155133" w:rsidRDefault="003513FA" w:rsidP="003513FA">
            <w:pPr>
              <w:spacing w:after="0" w:line="240" w:lineRule="auto"/>
              <w:jc w:val="both"/>
              <w:rPr>
                <w:sz w:val="24"/>
                <w:szCs w:val="24"/>
                <w:lang w:eastAsia="zh-TW"/>
              </w:rPr>
            </w:pPr>
            <w:r w:rsidRPr="00155133">
              <w:rPr>
                <w:sz w:val="24"/>
                <w:szCs w:val="24"/>
                <w:lang w:eastAsia="zh-TW"/>
              </w:rPr>
              <w:t>5.</w:t>
            </w:r>
          </w:p>
        </w:tc>
        <w:tc>
          <w:tcPr>
            <w:tcW w:w="5220" w:type="dxa"/>
            <w:shd w:val="clear" w:color="auto" w:fill="auto"/>
          </w:tcPr>
          <w:p w14:paraId="002286F9" w14:textId="77777777" w:rsidR="003513FA" w:rsidRPr="00155133" w:rsidRDefault="003513FA" w:rsidP="003513FA">
            <w:pPr>
              <w:spacing w:after="0" w:line="240" w:lineRule="auto"/>
              <w:jc w:val="both"/>
              <w:rPr>
                <w:sz w:val="24"/>
                <w:szCs w:val="24"/>
                <w:lang w:eastAsia="zh-TW"/>
              </w:rPr>
            </w:pPr>
            <w:r w:rsidRPr="00155133">
              <w:rPr>
                <w:rFonts w:hint="eastAsia"/>
                <w:sz w:val="24"/>
                <w:szCs w:val="24"/>
                <w:lang w:eastAsia="zh-TW"/>
              </w:rPr>
              <w:t>列於股東週年大會通告內第五項之普通決議案</w:t>
            </w:r>
            <w:r w:rsidRPr="00155133">
              <w:rPr>
                <w:sz w:val="24"/>
                <w:szCs w:val="24"/>
                <w:lang w:eastAsia="zh-TW"/>
              </w:rPr>
              <w:t>(</w:t>
            </w:r>
            <w:r>
              <w:rPr>
                <w:rFonts w:hint="eastAsia"/>
                <w:sz w:val="24"/>
                <w:szCs w:val="24"/>
                <w:lang w:eastAsia="zh-TW"/>
              </w:rPr>
              <w:t>給予董事會一般授權發行不超過本公司現有已發行股份</w:t>
            </w:r>
            <w:r w:rsidRPr="00155133">
              <w:rPr>
                <w:sz w:val="24"/>
                <w:szCs w:val="24"/>
                <w:lang w:eastAsia="zh-TW"/>
              </w:rPr>
              <w:t>20%</w:t>
            </w:r>
            <w:r w:rsidRPr="00155133">
              <w:rPr>
                <w:rFonts w:hint="eastAsia"/>
                <w:sz w:val="24"/>
                <w:szCs w:val="24"/>
                <w:lang w:eastAsia="zh-TW"/>
              </w:rPr>
              <w:t>之股份</w:t>
            </w:r>
            <w:r w:rsidRPr="00155133">
              <w:rPr>
                <w:sz w:val="24"/>
                <w:szCs w:val="24"/>
                <w:lang w:eastAsia="zh-TW"/>
              </w:rPr>
              <w:t>)</w:t>
            </w:r>
            <w:r w:rsidRPr="00155133">
              <w:rPr>
                <w:rFonts w:hint="eastAsia"/>
                <w:sz w:val="24"/>
                <w:szCs w:val="24"/>
                <w:lang w:eastAsia="zh-TW"/>
              </w:rPr>
              <w:t>。</w:t>
            </w:r>
            <w:r w:rsidRPr="00155133">
              <w:rPr>
                <w:sz w:val="24"/>
                <w:szCs w:val="24"/>
                <w:lang w:eastAsia="zh-TW"/>
              </w:rPr>
              <w:t xml:space="preserve"> </w:t>
            </w:r>
          </w:p>
        </w:tc>
        <w:tc>
          <w:tcPr>
            <w:tcW w:w="1710" w:type="dxa"/>
            <w:shd w:val="clear" w:color="auto" w:fill="auto"/>
          </w:tcPr>
          <w:p w14:paraId="5AED6B0D" w14:textId="77777777" w:rsidR="009C2D67" w:rsidRPr="009C2D67" w:rsidRDefault="009C2D67" w:rsidP="00FC1C54">
            <w:pPr>
              <w:spacing w:after="0" w:line="240" w:lineRule="auto"/>
              <w:jc w:val="right"/>
              <w:rPr>
                <w:sz w:val="24"/>
                <w:szCs w:val="24"/>
                <w:lang w:eastAsia="zh-TW"/>
              </w:rPr>
            </w:pPr>
            <w:r w:rsidRPr="009C2D67">
              <w:rPr>
                <w:sz w:val="24"/>
                <w:szCs w:val="24"/>
                <w:lang w:eastAsia="zh-TW"/>
              </w:rPr>
              <w:t>19,705,709</w:t>
            </w:r>
          </w:p>
          <w:p w14:paraId="47A0BB86" w14:textId="6130C02A" w:rsidR="003513FA" w:rsidRPr="00155133" w:rsidRDefault="009C2D67" w:rsidP="00FC1C54">
            <w:pPr>
              <w:spacing w:after="0" w:line="240" w:lineRule="auto"/>
              <w:jc w:val="right"/>
              <w:rPr>
                <w:sz w:val="24"/>
                <w:szCs w:val="24"/>
                <w:lang w:eastAsia="zh-TW"/>
              </w:rPr>
            </w:pPr>
            <w:r w:rsidRPr="009C2D67">
              <w:rPr>
                <w:sz w:val="24"/>
                <w:szCs w:val="24"/>
                <w:lang w:eastAsia="zh-TW"/>
              </w:rPr>
              <w:t>(99.777207%)</w:t>
            </w:r>
          </w:p>
        </w:tc>
        <w:tc>
          <w:tcPr>
            <w:tcW w:w="1458" w:type="dxa"/>
            <w:shd w:val="clear" w:color="auto" w:fill="auto"/>
          </w:tcPr>
          <w:p w14:paraId="70D3CDE2" w14:textId="77777777" w:rsidR="00FC1C54" w:rsidRPr="00FC1C54" w:rsidRDefault="00FC1C54" w:rsidP="00FC1C54">
            <w:pPr>
              <w:spacing w:after="0" w:line="240" w:lineRule="auto"/>
              <w:jc w:val="right"/>
              <w:rPr>
                <w:sz w:val="24"/>
                <w:szCs w:val="24"/>
                <w:lang w:eastAsia="zh-TW"/>
              </w:rPr>
            </w:pPr>
            <w:r w:rsidRPr="00FC1C54">
              <w:rPr>
                <w:sz w:val="24"/>
                <w:szCs w:val="24"/>
                <w:lang w:eastAsia="zh-TW"/>
              </w:rPr>
              <w:t>44,001</w:t>
            </w:r>
          </w:p>
          <w:p w14:paraId="7C46DEF1" w14:textId="088E4E9E" w:rsidR="003513FA" w:rsidRPr="00155133" w:rsidRDefault="00FC1C54" w:rsidP="00FC1C54">
            <w:pPr>
              <w:spacing w:after="0" w:line="240" w:lineRule="auto"/>
              <w:jc w:val="right"/>
              <w:rPr>
                <w:sz w:val="24"/>
                <w:szCs w:val="24"/>
                <w:lang w:eastAsia="zh-TW"/>
              </w:rPr>
            </w:pPr>
            <w:r w:rsidRPr="00FC1C54">
              <w:rPr>
                <w:sz w:val="24"/>
                <w:szCs w:val="24"/>
                <w:lang w:eastAsia="zh-TW"/>
              </w:rPr>
              <w:t>(0.222793%)</w:t>
            </w:r>
          </w:p>
        </w:tc>
      </w:tr>
    </w:tbl>
    <w:p w14:paraId="4BA06E77" w14:textId="77777777" w:rsidR="00855834" w:rsidRDefault="00855834" w:rsidP="004A3423">
      <w:pPr>
        <w:spacing w:after="0"/>
        <w:jc w:val="both"/>
        <w:rPr>
          <w:sz w:val="24"/>
          <w:szCs w:val="24"/>
          <w:lang w:eastAsia="zh-TW"/>
        </w:rPr>
      </w:pPr>
    </w:p>
    <w:p w14:paraId="64BAB5ED" w14:textId="77777777" w:rsidR="004A3423" w:rsidRPr="004A3423" w:rsidRDefault="004A3423" w:rsidP="004A3423">
      <w:pPr>
        <w:spacing w:after="0"/>
        <w:jc w:val="both"/>
        <w:rPr>
          <w:sz w:val="24"/>
          <w:szCs w:val="24"/>
          <w:lang w:eastAsia="zh-TW"/>
        </w:rPr>
      </w:pPr>
      <w:r w:rsidRPr="004A3423">
        <w:rPr>
          <w:rFonts w:hint="eastAsia"/>
          <w:sz w:val="24"/>
          <w:szCs w:val="24"/>
          <w:lang w:eastAsia="zh-TW"/>
        </w:rPr>
        <w:t>由於上述每項決議案的贊成票數均超過</w:t>
      </w:r>
      <w:r w:rsidRPr="004A3423">
        <w:rPr>
          <w:sz w:val="24"/>
          <w:szCs w:val="24"/>
          <w:lang w:eastAsia="zh-TW"/>
        </w:rPr>
        <w:t>50%</w:t>
      </w:r>
      <w:r w:rsidRPr="004A3423">
        <w:rPr>
          <w:rFonts w:hint="eastAsia"/>
          <w:sz w:val="24"/>
          <w:szCs w:val="24"/>
          <w:lang w:eastAsia="zh-TW"/>
        </w:rPr>
        <w:t>，該等決議案獲通過為普通決議案。</w:t>
      </w:r>
      <w:r w:rsidRPr="004A3423">
        <w:rPr>
          <w:sz w:val="24"/>
          <w:szCs w:val="24"/>
          <w:lang w:eastAsia="zh-TW"/>
        </w:rPr>
        <w:t xml:space="preserve"> </w:t>
      </w:r>
    </w:p>
    <w:p w14:paraId="69E2381C" w14:textId="77777777" w:rsidR="004A3423" w:rsidRPr="004A3423" w:rsidRDefault="004A3423" w:rsidP="004A3423">
      <w:pPr>
        <w:spacing w:after="0"/>
        <w:jc w:val="both"/>
        <w:rPr>
          <w:sz w:val="24"/>
          <w:szCs w:val="24"/>
          <w:lang w:eastAsia="zh-TW"/>
        </w:rPr>
      </w:pPr>
      <w:r w:rsidRPr="004A3423">
        <w:rPr>
          <w:sz w:val="24"/>
          <w:szCs w:val="24"/>
          <w:lang w:eastAsia="zh-TW"/>
        </w:rPr>
        <w:t xml:space="preserve"> </w:t>
      </w:r>
    </w:p>
    <w:p w14:paraId="268F8368" w14:textId="77777777" w:rsidR="004A3423" w:rsidRPr="004A3423" w:rsidRDefault="004A3423" w:rsidP="004A3423">
      <w:pPr>
        <w:spacing w:after="0"/>
        <w:jc w:val="both"/>
        <w:rPr>
          <w:sz w:val="24"/>
          <w:szCs w:val="24"/>
          <w:lang w:eastAsia="zh-TW"/>
        </w:rPr>
      </w:pPr>
      <w:r w:rsidRPr="004A3423">
        <w:rPr>
          <w:rFonts w:hint="eastAsia"/>
          <w:sz w:val="24"/>
          <w:szCs w:val="24"/>
          <w:lang w:eastAsia="zh-TW"/>
        </w:rPr>
        <w:t>有權出席股東週年大會並可於會上對所有決議案投贊成票或反對票之股東所代</w:t>
      </w:r>
    </w:p>
    <w:p w14:paraId="6AB10292" w14:textId="77777777" w:rsidR="004A3423" w:rsidRPr="004A3423" w:rsidRDefault="004A3423" w:rsidP="004A3423">
      <w:pPr>
        <w:spacing w:after="0"/>
        <w:jc w:val="both"/>
        <w:rPr>
          <w:sz w:val="24"/>
          <w:szCs w:val="24"/>
          <w:lang w:eastAsia="zh-TW"/>
        </w:rPr>
      </w:pPr>
      <w:r w:rsidRPr="004A3423">
        <w:rPr>
          <w:rFonts w:hint="eastAsia"/>
          <w:sz w:val="24"/>
          <w:szCs w:val="24"/>
          <w:lang w:eastAsia="zh-TW"/>
        </w:rPr>
        <w:t>表的股份總數為</w:t>
      </w:r>
      <w:r w:rsidRPr="004A3423">
        <w:rPr>
          <w:sz w:val="24"/>
          <w:szCs w:val="24"/>
          <w:lang w:eastAsia="zh-TW"/>
        </w:rPr>
        <w:t>25,000,000</w:t>
      </w:r>
      <w:r w:rsidRPr="004A3423">
        <w:rPr>
          <w:rFonts w:hint="eastAsia"/>
          <w:sz w:val="24"/>
          <w:szCs w:val="24"/>
          <w:lang w:eastAsia="zh-TW"/>
        </w:rPr>
        <w:t>股。本公司概無賦予其持有人權利出席股東週年大會</w:t>
      </w:r>
    </w:p>
    <w:p w14:paraId="23BC9A6B" w14:textId="77777777" w:rsidR="004A3423" w:rsidRDefault="004A3423" w:rsidP="004A3423">
      <w:pPr>
        <w:spacing w:after="0"/>
        <w:jc w:val="both"/>
        <w:rPr>
          <w:sz w:val="24"/>
          <w:szCs w:val="24"/>
          <w:lang w:eastAsia="zh-TW"/>
        </w:rPr>
      </w:pPr>
      <w:r w:rsidRPr="004A3423">
        <w:rPr>
          <w:rFonts w:hint="eastAsia"/>
          <w:sz w:val="24"/>
          <w:szCs w:val="24"/>
          <w:lang w:eastAsia="zh-TW"/>
        </w:rPr>
        <w:t>並於股東週年大會上僅可就決議案投反對票的股份。</w:t>
      </w:r>
      <w:r w:rsidRPr="004A3423">
        <w:rPr>
          <w:sz w:val="24"/>
          <w:szCs w:val="24"/>
          <w:lang w:eastAsia="zh-TW"/>
        </w:rPr>
        <w:t xml:space="preserve"> </w:t>
      </w:r>
      <w:r w:rsidRPr="004A3423">
        <w:rPr>
          <w:sz w:val="24"/>
          <w:szCs w:val="24"/>
          <w:lang w:eastAsia="zh-TW"/>
        </w:rPr>
        <w:cr/>
      </w:r>
    </w:p>
    <w:p w14:paraId="157CCC9F" w14:textId="77777777" w:rsidR="004A3423" w:rsidRDefault="004A3423" w:rsidP="004A3423">
      <w:pPr>
        <w:spacing w:after="0"/>
        <w:jc w:val="both"/>
        <w:rPr>
          <w:sz w:val="24"/>
          <w:szCs w:val="24"/>
          <w:lang w:eastAsia="zh-TW"/>
        </w:rPr>
      </w:pPr>
    </w:p>
    <w:p w14:paraId="6FC2A9C1" w14:textId="77777777" w:rsidR="004A3423" w:rsidRDefault="004A3423" w:rsidP="004A3423">
      <w:pPr>
        <w:spacing w:after="0"/>
        <w:jc w:val="both"/>
        <w:rPr>
          <w:sz w:val="24"/>
          <w:szCs w:val="24"/>
          <w:lang w:eastAsia="zh-TW"/>
        </w:rPr>
      </w:pPr>
    </w:p>
    <w:p w14:paraId="19F74195" w14:textId="77777777" w:rsidR="004A3423" w:rsidRDefault="004A3423" w:rsidP="004A3423">
      <w:pPr>
        <w:spacing w:after="0"/>
        <w:jc w:val="both"/>
        <w:rPr>
          <w:sz w:val="24"/>
          <w:szCs w:val="24"/>
          <w:lang w:eastAsia="zh-TW"/>
        </w:rPr>
      </w:pPr>
    </w:p>
    <w:p w14:paraId="3D9BBD55" w14:textId="77777777" w:rsidR="004A3423" w:rsidRPr="004A3423" w:rsidRDefault="004A3423" w:rsidP="004A3423">
      <w:pPr>
        <w:spacing w:after="0"/>
        <w:jc w:val="both"/>
        <w:rPr>
          <w:sz w:val="24"/>
          <w:szCs w:val="24"/>
          <w:lang w:eastAsia="zh-TW"/>
        </w:rPr>
      </w:pPr>
      <w:r>
        <w:rPr>
          <w:rFonts w:hint="eastAsia"/>
          <w:sz w:val="24"/>
          <w:szCs w:val="24"/>
          <w:lang w:eastAsia="zh-TW"/>
        </w:rPr>
        <w:t xml:space="preserve">                                                                                                                                  </w:t>
      </w:r>
      <w:r w:rsidRPr="004A3423">
        <w:rPr>
          <w:rFonts w:hint="eastAsia"/>
          <w:sz w:val="24"/>
          <w:szCs w:val="24"/>
          <w:lang w:eastAsia="zh-TW"/>
        </w:rPr>
        <w:t>承董事會命</w:t>
      </w:r>
      <w:r w:rsidRPr="004A3423">
        <w:rPr>
          <w:rFonts w:hint="eastAsia"/>
          <w:sz w:val="24"/>
          <w:szCs w:val="24"/>
          <w:lang w:eastAsia="zh-TW"/>
        </w:rPr>
        <w:t xml:space="preserve"> </w:t>
      </w:r>
    </w:p>
    <w:p w14:paraId="1ABB354E" w14:textId="77777777" w:rsidR="004A3423" w:rsidRPr="00ED262C" w:rsidRDefault="004A3423" w:rsidP="004A3423">
      <w:pPr>
        <w:spacing w:after="0"/>
        <w:jc w:val="both"/>
        <w:rPr>
          <w:i/>
          <w:sz w:val="24"/>
          <w:szCs w:val="24"/>
          <w:lang w:eastAsia="zh-TW"/>
        </w:rPr>
      </w:pPr>
      <w:r w:rsidRPr="004A3423">
        <w:rPr>
          <w:rFonts w:hint="eastAsia"/>
          <w:sz w:val="24"/>
          <w:szCs w:val="24"/>
          <w:lang w:eastAsia="zh-TW"/>
        </w:rPr>
        <w:t xml:space="preserve"> </w:t>
      </w:r>
      <w:r>
        <w:rPr>
          <w:rFonts w:hint="eastAsia"/>
          <w:sz w:val="24"/>
          <w:szCs w:val="24"/>
          <w:lang w:eastAsia="zh-TW"/>
        </w:rPr>
        <w:t xml:space="preserve">                                                                                                                                    </w:t>
      </w:r>
      <w:r w:rsidRPr="00ED262C">
        <w:rPr>
          <w:rFonts w:hint="eastAsia"/>
          <w:i/>
          <w:sz w:val="24"/>
          <w:szCs w:val="24"/>
          <w:lang w:eastAsia="zh-TW"/>
        </w:rPr>
        <w:t>公司秘書</w:t>
      </w:r>
      <w:r w:rsidRPr="00ED262C">
        <w:rPr>
          <w:rFonts w:hint="eastAsia"/>
          <w:i/>
          <w:sz w:val="24"/>
          <w:szCs w:val="24"/>
          <w:lang w:eastAsia="zh-TW"/>
        </w:rPr>
        <w:t xml:space="preserve"> </w:t>
      </w:r>
    </w:p>
    <w:p w14:paraId="1AF8B97F" w14:textId="77777777" w:rsidR="004A3423" w:rsidRPr="005641FB" w:rsidRDefault="004A3423" w:rsidP="004A3423">
      <w:pPr>
        <w:spacing w:after="0"/>
        <w:jc w:val="both"/>
        <w:rPr>
          <w:b/>
          <w:bCs/>
          <w:sz w:val="24"/>
          <w:szCs w:val="24"/>
          <w:lang w:eastAsia="zh-TW"/>
        </w:rPr>
      </w:pPr>
      <w:r w:rsidRPr="004A3423">
        <w:rPr>
          <w:rFonts w:hint="eastAsia"/>
          <w:sz w:val="24"/>
          <w:szCs w:val="24"/>
          <w:lang w:eastAsia="zh-TW"/>
        </w:rPr>
        <w:t xml:space="preserve"> </w:t>
      </w:r>
      <w:r>
        <w:rPr>
          <w:rFonts w:hint="eastAsia"/>
          <w:sz w:val="24"/>
          <w:szCs w:val="24"/>
          <w:lang w:eastAsia="zh-TW"/>
        </w:rPr>
        <w:t xml:space="preserve">                                                                                                                                      </w:t>
      </w:r>
      <w:proofErr w:type="gramStart"/>
      <w:r w:rsidRPr="005641FB">
        <w:rPr>
          <w:rFonts w:hint="eastAsia"/>
          <w:b/>
          <w:bCs/>
          <w:sz w:val="24"/>
          <w:szCs w:val="24"/>
          <w:lang w:eastAsia="zh-TW"/>
        </w:rPr>
        <w:t>鍾</w:t>
      </w:r>
      <w:proofErr w:type="gramEnd"/>
      <w:r w:rsidRPr="005641FB">
        <w:rPr>
          <w:rFonts w:hint="eastAsia"/>
          <w:b/>
          <w:bCs/>
          <w:sz w:val="24"/>
          <w:szCs w:val="24"/>
          <w:lang w:eastAsia="zh-TW"/>
        </w:rPr>
        <w:t>賢書</w:t>
      </w:r>
      <w:r w:rsidRPr="005641FB">
        <w:rPr>
          <w:rFonts w:hint="eastAsia"/>
          <w:b/>
          <w:bCs/>
          <w:sz w:val="24"/>
          <w:szCs w:val="24"/>
          <w:lang w:eastAsia="zh-TW"/>
        </w:rPr>
        <w:t xml:space="preserve"> </w:t>
      </w:r>
      <w:r w:rsidRPr="005641FB">
        <w:rPr>
          <w:b/>
          <w:bCs/>
          <w:sz w:val="24"/>
          <w:szCs w:val="24"/>
          <w:lang w:eastAsia="zh-TW"/>
        </w:rPr>
        <w:cr/>
      </w:r>
    </w:p>
    <w:p w14:paraId="52F0ED8A" w14:textId="77777777" w:rsidR="004A3423" w:rsidRDefault="004A3423" w:rsidP="004A3423">
      <w:pPr>
        <w:spacing w:after="0"/>
        <w:jc w:val="both"/>
        <w:rPr>
          <w:sz w:val="24"/>
          <w:szCs w:val="24"/>
          <w:lang w:eastAsia="zh-TW"/>
        </w:rPr>
      </w:pPr>
    </w:p>
    <w:p w14:paraId="7FD5AE01" w14:textId="77777777" w:rsidR="004A3423" w:rsidRDefault="004A3423" w:rsidP="004A3423">
      <w:pPr>
        <w:widowControl w:val="0"/>
        <w:autoSpaceDE w:val="0"/>
        <w:autoSpaceDN w:val="0"/>
        <w:adjustRightInd w:val="0"/>
        <w:spacing w:after="0" w:line="240" w:lineRule="auto"/>
        <w:ind w:left="100"/>
        <w:rPr>
          <w:rFonts w:ascii="PMingLiU" w:hAnsi="Times New Roman" w:cs="PMingLiU"/>
          <w:sz w:val="24"/>
          <w:szCs w:val="24"/>
          <w:lang w:eastAsia="zh-TW"/>
        </w:rPr>
      </w:pPr>
      <w:r>
        <w:rPr>
          <w:rFonts w:ascii="PMingLiU" w:hAnsi="Times New Roman" w:cs="PMingLiU" w:hint="eastAsia"/>
          <w:sz w:val="24"/>
          <w:szCs w:val="24"/>
          <w:lang w:eastAsia="zh-TW"/>
        </w:rPr>
        <w:t>香港，</w:t>
      </w:r>
      <w:r w:rsidR="00C3468A">
        <w:rPr>
          <w:rFonts w:ascii="PMingLiU" w:hAnsi="Times New Roman" w:cs="PMingLiU"/>
          <w:sz w:val="24"/>
          <w:szCs w:val="24"/>
          <w:lang w:eastAsia="zh-TW"/>
        </w:rPr>
        <w:t>202</w:t>
      </w:r>
      <w:r w:rsidR="003513FA">
        <w:rPr>
          <w:rFonts w:ascii="PMingLiU" w:hAnsi="Times New Roman" w:cs="PMingLiU"/>
          <w:sz w:val="24"/>
          <w:szCs w:val="24"/>
          <w:lang w:eastAsia="zh-TW"/>
        </w:rPr>
        <w:t>3</w:t>
      </w:r>
      <w:r>
        <w:rPr>
          <w:rFonts w:ascii="PMingLiU" w:hAnsi="Times New Roman" w:cs="PMingLiU" w:hint="eastAsia"/>
          <w:sz w:val="24"/>
          <w:szCs w:val="24"/>
          <w:lang w:eastAsia="zh-TW"/>
        </w:rPr>
        <w:t>年</w:t>
      </w:r>
      <w:r w:rsidR="00B26C86">
        <w:rPr>
          <w:rFonts w:ascii="PMingLiU" w:hAnsi="Times New Roman" w:cs="PMingLiU"/>
          <w:sz w:val="24"/>
          <w:szCs w:val="24"/>
          <w:lang w:eastAsia="zh-TW"/>
        </w:rPr>
        <w:t>1</w:t>
      </w:r>
      <w:r>
        <w:rPr>
          <w:rFonts w:ascii="PMingLiU" w:hAnsi="Times New Roman" w:cs="PMingLiU" w:hint="eastAsia"/>
          <w:sz w:val="24"/>
          <w:szCs w:val="24"/>
          <w:lang w:eastAsia="zh-TW"/>
        </w:rPr>
        <w:t>月</w:t>
      </w:r>
      <w:r w:rsidR="00B26C86">
        <w:rPr>
          <w:rFonts w:ascii="PMingLiU" w:hAnsi="Times New Roman" w:cs="PMingLiU"/>
          <w:sz w:val="24"/>
          <w:szCs w:val="24"/>
          <w:lang w:eastAsia="zh-TW"/>
        </w:rPr>
        <w:t>2</w:t>
      </w:r>
      <w:r w:rsidR="003513FA">
        <w:rPr>
          <w:rFonts w:ascii="PMingLiU" w:hAnsi="Times New Roman" w:cs="PMingLiU"/>
          <w:sz w:val="24"/>
          <w:szCs w:val="24"/>
          <w:lang w:eastAsia="zh-TW"/>
        </w:rPr>
        <w:t>0</w:t>
      </w:r>
      <w:r>
        <w:rPr>
          <w:rFonts w:ascii="PMingLiU" w:hAnsi="Times New Roman" w:cs="PMingLiU" w:hint="eastAsia"/>
          <w:sz w:val="24"/>
          <w:szCs w:val="24"/>
          <w:lang w:eastAsia="zh-TW"/>
        </w:rPr>
        <w:t>日</w:t>
      </w:r>
    </w:p>
    <w:p w14:paraId="43816BA0" w14:textId="77777777" w:rsidR="004A3423" w:rsidRDefault="004A3423" w:rsidP="004A3423">
      <w:pPr>
        <w:spacing w:after="0"/>
        <w:jc w:val="both"/>
        <w:rPr>
          <w:sz w:val="24"/>
          <w:szCs w:val="24"/>
          <w:lang w:eastAsia="zh-TW"/>
        </w:rPr>
      </w:pPr>
    </w:p>
    <w:p w14:paraId="570ABE5A" w14:textId="77777777" w:rsidR="005D602D" w:rsidRDefault="005D602D" w:rsidP="005D602D">
      <w:pPr>
        <w:widowControl w:val="0"/>
        <w:autoSpaceDE w:val="0"/>
        <w:autoSpaceDN w:val="0"/>
        <w:adjustRightInd w:val="0"/>
        <w:spacing w:after="0" w:line="360" w:lineRule="exact"/>
        <w:ind w:left="120" w:right="46"/>
        <w:jc w:val="both"/>
        <w:rPr>
          <w:rFonts w:ascii="PMingLiU" w:hAnsi="Times New Roman" w:cs="PMingLiU"/>
          <w:i/>
          <w:sz w:val="25"/>
          <w:szCs w:val="25"/>
          <w:lang w:val="en-GB" w:eastAsia="zh-TW"/>
        </w:rPr>
      </w:pPr>
      <w:r w:rsidRPr="00DA5D99">
        <w:rPr>
          <w:rFonts w:ascii="PMingLiU" w:hAnsi="Times New Roman" w:cs="PMingLiU" w:hint="eastAsia"/>
          <w:i/>
          <w:w w:val="96"/>
          <w:sz w:val="25"/>
          <w:szCs w:val="25"/>
          <w:lang w:eastAsia="zh-TW"/>
        </w:rPr>
        <w:t>於本公告日期，本公司董事會成員包括</w:t>
      </w:r>
      <w:r w:rsidRPr="00DA5D99">
        <w:rPr>
          <w:rFonts w:ascii="PMingLiU" w:hAnsi="Times New Roman" w:cs="PMingLiU"/>
          <w:i/>
          <w:w w:val="96"/>
          <w:sz w:val="25"/>
          <w:szCs w:val="25"/>
          <w:lang w:eastAsia="zh-TW"/>
        </w:rPr>
        <w:t xml:space="preserve"> </w:t>
      </w:r>
      <w:r w:rsidRPr="00DA5D99">
        <w:rPr>
          <w:rFonts w:ascii="PMingLiU" w:hAnsi="Times New Roman" w:cs="PMingLiU"/>
          <w:i/>
          <w:sz w:val="25"/>
          <w:szCs w:val="25"/>
          <w:lang w:eastAsia="zh-TW"/>
        </w:rPr>
        <w:t xml:space="preserve">(a) </w:t>
      </w:r>
      <w:r w:rsidRPr="00DA5D99">
        <w:rPr>
          <w:rFonts w:ascii="PMingLiU" w:hAnsi="Times New Roman" w:cs="PMingLiU" w:hint="eastAsia"/>
          <w:i/>
          <w:sz w:val="25"/>
          <w:szCs w:val="25"/>
          <w:lang w:eastAsia="zh-TW"/>
        </w:rPr>
        <w:t>三位執行董事，</w:t>
      </w:r>
      <w:r>
        <w:rPr>
          <w:rFonts w:ascii="Times New Roman" w:hAnsi="Times New Roman" w:hint="eastAsia"/>
          <w:i/>
          <w:sz w:val="24"/>
          <w:szCs w:val="24"/>
          <w:lang w:eastAsia="zh-TW"/>
        </w:rPr>
        <w:t>分別為鍾明輝先生、</w:t>
      </w:r>
      <w:proofErr w:type="gramStart"/>
      <w:r>
        <w:rPr>
          <w:rFonts w:ascii="Times New Roman" w:hAnsi="Times New Roman" w:hint="eastAsia"/>
          <w:i/>
          <w:sz w:val="24"/>
          <w:szCs w:val="24"/>
          <w:lang w:eastAsia="zh-TW"/>
        </w:rPr>
        <w:t>鍾賢書</w:t>
      </w:r>
      <w:proofErr w:type="gramEnd"/>
      <w:r>
        <w:rPr>
          <w:rFonts w:ascii="Times New Roman" w:hAnsi="Times New Roman" w:hint="eastAsia"/>
          <w:i/>
          <w:sz w:val="24"/>
          <w:szCs w:val="24"/>
          <w:lang w:eastAsia="zh-TW"/>
        </w:rPr>
        <w:t>先生及曾安業先生</w:t>
      </w:r>
      <w:r w:rsidR="00C3468A" w:rsidRPr="00745A36">
        <w:rPr>
          <w:rFonts w:ascii="Times New Roman" w:hAnsi="Times New Roman" w:hint="eastAsia"/>
          <w:i/>
          <w:sz w:val="24"/>
          <w:szCs w:val="24"/>
          <w:lang w:eastAsia="zh-TW"/>
        </w:rPr>
        <w:t>（</w:t>
      </w:r>
      <w:r w:rsidR="00C3468A" w:rsidRPr="00745A36">
        <w:rPr>
          <w:rFonts w:ascii="Times New Roman" w:hAnsi="Times New Roman"/>
          <w:i/>
          <w:sz w:val="24"/>
          <w:szCs w:val="24"/>
          <w:lang w:eastAsia="zh-TW"/>
        </w:rPr>
        <w:t>劉皓</w:t>
      </w:r>
      <w:r w:rsidR="00C3468A" w:rsidRPr="00745A36">
        <w:rPr>
          <w:rFonts w:ascii="Times New Roman" w:hAnsi="Times New Roman" w:hint="eastAsia"/>
          <w:i/>
          <w:sz w:val="24"/>
          <w:szCs w:val="24"/>
          <w:lang w:eastAsia="zh-TW"/>
        </w:rPr>
        <w:t>之</w:t>
      </w:r>
      <w:r w:rsidR="00C3468A" w:rsidRPr="0051418B">
        <w:rPr>
          <w:rFonts w:ascii="Times New Roman" w:hAnsi="Times New Roman" w:hint="eastAsia"/>
          <w:i/>
          <w:sz w:val="24"/>
          <w:szCs w:val="24"/>
          <w:lang w:eastAsia="zh-TW"/>
        </w:rPr>
        <w:t>先生</w:t>
      </w:r>
      <w:r w:rsidR="00C3468A" w:rsidRPr="001E306D">
        <w:rPr>
          <w:rFonts w:ascii="Times New Roman" w:hAnsi="Times New Roman"/>
          <w:i/>
          <w:sz w:val="24"/>
          <w:szCs w:val="24"/>
          <w:lang w:eastAsia="zh-TW"/>
        </w:rPr>
        <w:t>為彼</w:t>
      </w:r>
      <w:proofErr w:type="gramStart"/>
      <w:r w:rsidR="00C3468A" w:rsidRPr="001E306D">
        <w:rPr>
          <w:rFonts w:ascii="Times New Roman" w:hAnsi="Times New Roman"/>
          <w:i/>
          <w:sz w:val="24"/>
          <w:szCs w:val="24"/>
          <w:lang w:eastAsia="zh-TW"/>
        </w:rPr>
        <w:t>之</w:t>
      </w:r>
      <w:proofErr w:type="gramEnd"/>
      <w:r w:rsidR="00C3468A" w:rsidRPr="001E306D">
        <w:rPr>
          <w:rFonts w:ascii="Times New Roman" w:hAnsi="Times New Roman"/>
          <w:i/>
          <w:sz w:val="24"/>
          <w:szCs w:val="24"/>
          <w:lang w:eastAsia="zh-TW"/>
        </w:rPr>
        <w:t>替任董事</w:t>
      </w:r>
      <w:r w:rsidR="00C3468A" w:rsidRPr="00745A36">
        <w:rPr>
          <w:rFonts w:ascii="Times New Roman" w:hAnsi="Times New Roman" w:hint="eastAsia"/>
          <w:i/>
          <w:sz w:val="24"/>
          <w:szCs w:val="24"/>
          <w:lang w:eastAsia="zh-TW"/>
        </w:rPr>
        <w:t>）</w:t>
      </w:r>
      <w:r w:rsidRPr="00DA5D99">
        <w:rPr>
          <w:rFonts w:ascii="PMingLiU" w:hAnsi="Times New Roman" w:cs="PMingLiU" w:hint="eastAsia"/>
          <w:i/>
          <w:spacing w:val="-19"/>
          <w:sz w:val="25"/>
          <w:szCs w:val="25"/>
          <w:lang w:eastAsia="zh-TW"/>
        </w:rPr>
        <w:t>；</w:t>
      </w:r>
      <w:r w:rsidRPr="00DA5D99">
        <w:rPr>
          <w:rFonts w:ascii="PMingLiU" w:hAnsi="Times New Roman" w:cs="PMingLiU"/>
          <w:i/>
          <w:sz w:val="25"/>
          <w:szCs w:val="25"/>
          <w:lang w:eastAsia="zh-TW"/>
        </w:rPr>
        <w:t>(b)</w:t>
      </w:r>
      <w:r w:rsidRPr="00DA5D99">
        <w:rPr>
          <w:rFonts w:ascii="PMingLiU" w:hAnsi="Times New Roman" w:cs="PMingLiU" w:hint="eastAsia"/>
          <w:i/>
          <w:sz w:val="25"/>
          <w:szCs w:val="25"/>
          <w:lang w:eastAsia="zh-TW"/>
        </w:rPr>
        <w:t>一位</w:t>
      </w:r>
      <w:r w:rsidRPr="00DA5D99">
        <w:rPr>
          <w:rFonts w:ascii="PMingLiU" w:hAnsi="Times New Roman" w:cs="PMingLiU" w:hint="eastAsia"/>
          <w:i/>
          <w:spacing w:val="-1"/>
          <w:sz w:val="25"/>
          <w:szCs w:val="25"/>
          <w:lang w:eastAsia="zh-TW"/>
        </w:rPr>
        <w:t>非</w:t>
      </w:r>
      <w:r w:rsidRPr="00DA5D99">
        <w:rPr>
          <w:rFonts w:ascii="PMingLiU" w:hAnsi="Times New Roman" w:cs="PMingLiU" w:hint="eastAsia"/>
          <w:i/>
          <w:sz w:val="25"/>
          <w:szCs w:val="25"/>
          <w:lang w:eastAsia="zh-TW"/>
        </w:rPr>
        <w:t>執行董</w:t>
      </w:r>
      <w:r w:rsidRPr="00DA5D99">
        <w:rPr>
          <w:rFonts w:ascii="PMingLiU" w:hAnsi="Times New Roman" w:cs="PMingLiU" w:hint="eastAsia"/>
          <w:i/>
          <w:spacing w:val="-18"/>
          <w:sz w:val="25"/>
          <w:szCs w:val="25"/>
          <w:lang w:eastAsia="zh-TW"/>
        </w:rPr>
        <w:t>事</w:t>
      </w:r>
      <w:r w:rsidRPr="00DA5D99">
        <w:rPr>
          <w:rFonts w:ascii="PMingLiU" w:hAnsi="Times New Roman" w:cs="PMingLiU" w:hint="eastAsia"/>
          <w:i/>
          <w:spacing w:val="-19"/>
          <w:sz w:val="25"/>
          <w:szCs w:val="25"/>
          <w:lang w:eastAsia="zh-TW"/>
        </w:rPr>
        <w:t>，</w:t>
      </w:r>
      <w:r w:rsidRPr="00DA5D99">
        <w:rPr>
          <w:rFonts w:ascii="PMingLiU" w:hAnsi="Times New Roman" w:cs="PMingLiU" w:hint="eastAsia"/>
          <w:i/>
          <w:spacing w:val="1"/>
          <w:sz w:val="25"/>
          <w:szCs w:val="25"/>
          <w:lang w:eastAsia="zh-TW"/>
        </w:rPr>
        <w:t>為鍾慧書先</w:t>
      </w:r>
      <w:r w:rsidRPr="00DA5D99">
        <w:rPr>
          <w:rFonts w:ascii="PMingLiU" w:hAnsi="Times New Roman" w:cs="PMingLiU" w:hint="eastAsia"/>
          <w:i/>
          <w:spacing w:val="-17"/>
          <w:sz w:val="25"/>
          <w:szCs w:val="25"/>
          <w:lang w:eastAsia="zh-TW"/>
        </w:rPr>
        <w:t>生</w:t>
      </w:r>
      <w:r w:rsidRPr="00DA5D99">
        <w:rPr>
          <w:rFonts w:ascii="PMingLiU" w:hAnsi="Times New Roman" w:cs="PMingLiU" w:hint="eastAsia"/>
          <w:i/>
          <w:spacing w:val="-18"/>
          <w:sz w:val="25"/>
          <w:szCs w:val="25"/>
          <w:lang w:eastAsia="zh-TW"/>
        </w:rPr>
        <w:t>；</w:t>
      </w:r>
      <w:r w:rsidRPr="00DA5D99">
        <w:rPr>
          <w:rFonts w:ascii="PMingLiU" w:hAnsi="Times New Roman" w:cs="PMingLiU" w:hint="eastAsia"/>
          <w:i/>
          <w:sz w:val="25"/>
          <w:szCs w:val="25"/>
          <w:lang w:eastAsia="zh-TW"/>
        </w:rPr>
        <w:t>及</w:t>
      </w:r>
      <w:r w:rsidRPr="00DA5D99">
        <w:rPr>
          <w:rFonts w:ascii="PMingLiU" w:hAnsi="Times New Roman" w:cs="PMingLiU"/>
          <w:i/>
          <w:spacing w:val="1"/>
          <w:sz w:val="25"/>
          <w:szCs w:val="25"/>
          <w:lang w:eastAsia="zh-TW"/>
        </w:rPr>
        <w:t>(</w:t>
      </w:r>
      <w:r w:rsidRPr="001E22E1">
        <w:rPr>
          <w:rFonts w:ascii="Times New Roman" w:hAnsi="Times New Roman"/>
          <w:i/>
          <w:sz w:val="24"/>
          <w:szCs w:val="24"/>
          <w:lang w:eastAsia="zh-TW"/>
        </w:rPr>
        <w:t>c)</w:t>
      </w:r>
      <w:r w:rsidR="003513FA" w:rsidRPr="003513FA">
        <w:rPr>
          <w:rFonts w:hint="eastAsia"/>
          <w:lang w:eastAsia="zh-TW"/>
        </w:rPr>
        <w:t xml:space="preserve"> </w:t>
      </w:r>
      <w:r w:rsidR="003513FA" w:rsidRPr="003513FA">
        <w:rPr>
          <w:rFonts w:ascii="Times New Roman" w:hAnsi="Times New Roman" w:hint="eastAsia"/>
          <w:i/>
          <w:sz w:val="24"/>
          <w:szCs w:val="24"/>
          <w:lang w:eastAsia="zh-TW"/>
        </w:rPr>
        <w:t>三</w:t>
      </w:r>
      <w:r w:rsidRPr="001E22E1">
        <w:rPr>
          <w:rFonts w:ascii="Times New Roman" w:hAnsi="Times New Roman" w:hint="eastAsia"/>
          <w:i/>
          <w:sz w:val="24"/>
          <w:szCs w:val="24"/>
          <w:lang w:eastAsia="zh-TW"/>
        </w:rPr>
        <w:t>位獨立</w:t>
      </w:r>
      <w:r w:rsidRPr="00DA5D99">
        <w:rPr>
          <w:rFonts w:ascii="PMingLiU" w:hAnsi="Times New Roman" w:cs="PMingLiU" w:hint="eastAsia"/>
          <w:i/>
          <w:spacing w:val="1"/>
          <w:sz w:val="25"/>
          <w:szCs w:val="25"/>
          <w:lang w:eastAsia="zh-TW"/>
        </w:rPr>
        <w:t>非執行董事，</w:t>
      </w:r>
      <w:r w:rsidRPr="00DA5D99">
        <w:rPr>
          <w:rFonts w:ascii="PMingLiU" w:hAnsi="Times New Roman" w:cs="PMingLiU"/>
          <w:i/>
          <w:spacing w:val="1"/>
          <w:sz w:val="25"/>
          <w:szCs w:val="25"/>
          <w:lang w:eastAsia="zh-TW"/>
        </w:rPr>
        <w:t xml:space="preserve"> </w:t>
      </w:r>
      <w:r w:rsidRPr="00DA5D99">
        <w:rPr>
          <w:rFonts w:ascii="PMingLiU" w:hAnsi="Times New Roman" w:cs="PMingLiU" w:hint="eastAsia"/>
          <w:i/>
          <w:sz w:val="25"/>
          <w:szCs w:val="25"/>
          <w:lang w:eastAsia="zh-TW"/>
        </w:rPr>
        <w:t>分別為盧伯韶先生</w:t>
      </w:r>
      <w:r w:rsidR="00DD50F0" w:rsidRPr="00DA5D99">
        <w:rPr>
          <w:rFonts w:ascii="PMingLiU" w:hAnsi="Times New Roman" w:cs="PMingLiU" w:hint="eastAsia"/>
          <w:i/>
          <w:sz w:val="25"/>
          <w:szCs w:val="25"/>
          <w:lang w:eastAsia="zh-TW"/>
        </w:rPr>
        <w:t>、</w:t>
      </w:r>
      <w:r w:rsidRPr="00DA5D99">
        <w:rPr>
          <w:rFonts w:ascii="PMingLiU" w:hAnsi="Times New Roman" w:cs="PMingLiU" w:hint="eastAsia"/>
          <w:i/>
          <w:sz w:val="25"/>
          <w:szCs w:val="25"/>
          <w:lang w:eastAsia="zh-TW"/>
        </w:rPr>
        <w:t>阮錫明先生</w:t>
      </w:r>
      <w:r w:rsidR="00DD50F0" w:rsidRPr="00DA5D99">
        <w:rPr>
          <w:rFonts w:ascii="PMingLiU" w:hAnsi="Times New Roman" w:cs="PMingLiU" w:hint="eastAsia"/>
          <w:i/>
          <w:sz w:val="25"/>
          <w:szCs w:val="25"/>
          <w:lang w:eastAsia="zh-TW"/>
        </w:rPr>
        <w:t>及</w:t>
      </w:r>
      <w:r w:rsidR="00DD50F0" w:rsidRPr="00DD50F0">
        <w:rPr>
          <w:rFonts w:ascii="PMingLiU" w:hAnsi="Times New Roman" w:cs="PMingLiU"/>
          <w:i/>
          <w:sz w:val="25"/>
          <w:szCs w:val="25"/>
          <w:lang w:eastAsia="zh-TW"/>
        </w:rPr>
        <w:t>王啟東先</w:t>
      </w:r>
      <w:r w:rsidR="00DD50F0" w:rsidRPr="00DD50F0">
        <w:rPr>
          <w:rFonts w:ascii="PMingLiU" w:hAnsi="Times New Roman" w:cs="PMingLiU" w:hint="eastAsia"/>
          <w:i/>
          <w:sz w:val="25"/>
          <w:szCs w:val="25"/>
          <w:lang w:eastAsia="zh-TW"/>
        </w:rPr>
        <w:t>生</w:t>
      </w:r>
      <w:r w:rsidRPr="00DA5D99">
        <w:rPr>
          <w:rFonts w:ascii="PMingLiU" w:hAnsi="Times New Roman" w:cs="PMingLiU" w:hint="eastAsia"/>
          <w:i/>
          <w:sz w:val="25"/>
          <w:szCs w:val="25"/>
          <w:lang w:eastAsia="zh-TW"/>
        </w:rPr>
        <w:t>。</w:t>
      </w:r>
    </w:p>
    <w:p w14:paraId="52356BBE" w14:textId="77777777" w:rsidR="005D602D" w:rsidRDefault="005D602D" w:rsidP="005D602D">
      <w:pPr>
        <w:widowControl w:val="0"/>
        <w:autoSpaceDE w:val="0"/>
        <w:autoSpaceDN w:val="0"/>
        <w:adjustRightInd w:val="0"/>
        <w:spacing w:after="0" w:line="360" w:lineRule="exact"/>
        <w:ind w:left="120" w:right="46"/>
        <w:jc w:val="both"/>
        <w:rPr>
          <w:rFonts w:ascii="PMingLiU" w:hAnsi="Times New Roman" w:cs="PMingLiU"/>
          <w:i/>
          <w:sz w:val="25"/>
          <w:szCs w:val="25"/>
          <w:lang w:val="en-GB" w:eastAsia="zh-TW"/>
        </w:rPr>
      </w:pPr>
    </w:p>
    <w:p w14:paraId="66734B30" w14:textId="77777777" w:rsidR="004A3423" w:rsidRPr="00783FFE" w:rsidRDefault="004A3423" w:rsidP="004A3423">
      <w:pPr>
        <w:spacing w:after="0"/>
        <w:jc w:val="both"/>
        <w:rPr>
          <w:sz w:val="24"/>
          <w:szCs w:val="24"/>
          <w:lang w:val="en-GB" w:eastAsia="zh-TW"/>
        </w:rPr>
      </w:pPr>
    </w:p>
    <w:sectPr w:rsidR="004A3423" w:rsidRPr="00783FFE" w:rsidSect="00FC1C54">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7418" w14:textId="77777777" w:rsidR="0063545C" w:rsidRDefault="0063545C" w:rsidP="007068A3">
      <w:pPr>
        <w:spacing w:after="0" w:line="240" w:lineRule="auto"/>
      </w:pPr>
      <w:r>
        <w:separator/>
      </w:r>
    </w:p>
  </w:endnote>
  <w:endnote w:type="continuationSeparator" w:id="0">
    <w:p w14:paraId="073719E0" w14:textId="77777777" w:rsidR="0063545C" w:rsidRDefault="0063545C" w:rsidP="0070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8045" w14:textId="77777777" w:rsidR="0063545C" w:rsidRDefault="0063545C" w:rsidP="007068A3">
      <w:pPr>
        <w:spacing w:after="0" w:line="240" w:lineRule="auto"/>
      </w:pPr>
      <w:r>
        <w:separator/>
      </w:r>
    </w:p>
  </w:footnote>
  <w:footnote w:type="continuationSeparator" w:id="0">
    <w:p w14:paraId="5D729673" w14:textId="77777777" w:rsidR="0063545C" w:rsidRDefault="0063545C" w:rsidP="00706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0"/>
    <w:rsid w:val="000035C3"/>
    <w:rsid w:val="00062D49"/>
    <w:rsid w:val="00062FB5"/>
    <w:rsid w:val="000D0680"/>
    <w:rsid w:val="00106C16"/>
    <w:rsid w:val="00127756"/>
    <w:rsid w:val="00141087"/>
    <w:rsid w:val="00155133"/>
    <w:rsid w:val="001B7F5E"/>
    <w:rsid w:val="001D04F9"/>
    <w:rsid w:val="001E22E1"/>
    <w:rsid w:val="00205582"/>
    <w:rsid w:val="002153B3"/>
    <w:rsid w:val="00253313"/>
    <w:rsid w:val="002B3E49"/>
    <w:rsid w:val="002B49F5"/>
    <w:rsid w:val="002B5825"/>
    <w:rsid w:val="002C7AF1"/>
    <w:rsid w:val="002D227B"/>
    <w:rsid w:val="002F78FF"/>
    <w:rsid w:val="00314BA4"/>
    <w:rsid w:val="00332B7A"/>
    <w:rsid w:val="003513FA"/>
    <w:rsid w:val="003847BA"/>
    <w:rsid w:val="003A079D"/>
    <w:rsid w:val="003A165C"/>
    <w:rsid w:val="003A1D24"/>
    <w:rsid w:val="003A6AA8"/>
    <w:rsid w:val="004036C4"/>
    <w:rsid w:val="004358A7"/>
    <w:rsid w:val="00465C69"/>
    <w:rsid w:val="00497B88"/>
    <w:rsid w:val="004A3423"/>
    <w:rsid w:val="004A40AE"/>
    <w:rsid w:val="004D46CE"/>
    <w:rsid w:val="004F3AA6"/>
    <w:rsid w:val="004F492E"/>
    <w:rsid w:val="00504677"/>
    <w:rsid w:val="00511795"/>
    <w:rsid w:val="00544693"/>
    <w:rsid w:val="0055339F"/>
    <w:rsid w:val="005641FB"/>
    <w:rsid w:val="005D602D"/>
    <w:rsid w:val="00615981"/>
    <w:rsid w:val="0063545C"/>
    <w:rsid w:val="00653FC9"/>
    <w:rsid w:val="00657C56"/>
    <w:rsid w:val="0066140F"/>
    <w:rsid w:val="00665525"/>
    <w:rsid w:val="00671FDA"/>
    <w:rsid w:val="00692E6A"/>
    <w:rsid w:val="00694CA8"/>
    <w:rsid w:val="006A1B49"/>
    <w:rsid w:val="006A6206"/>
    <w:rsid w:val="006C1E27"/>
    <w:rsid w:val="006C4F41"/>
    <w:rsid w:val="006C5C00"/>
    <w:rsid w:val="006E2D35"/>
    <w:rsid w:val="007068A3"/>
    <w:rsid w:val="007409F8"/>
    <w:rsid w:val="00741187"/>
    <w:rsid w:val="007477EF"/>
    <w:rsid w:val="00783FFE"/>
    <w:rsid w:val="007B6AF4"/>
    <w:rsid w:val="007C19FD"/>
    <w:rsid w:val="007C7FA4"/>
    <w:rsid w:val="007D538A"/>
    <w:rsid w:val="007E2F82"/>
    <w:rsid w:val="007F2258"/>
    <w:rsid w:val="007F5C7D"/>
    <w:rsid w:val="00803E36"/>
    <w:rsid w:val="0081551A"/>
    <w:rsid w:val="00855834"/>
    <w:rsid w:val="00857E9B"/>
    <w:rsid w:val="008657CD"/>
    <w:rsid w:val="00875441"/>
    <w:rsid w:val="00885122"/>
    <w:rsid w:val="0088552C"/>
    <w:rsid w:val="0089509E"/>
    <w:rsid w:val="008A1946"/>
    <w:rsid w:val="008A6291"/>
    <w:rsid w:val="008A6F22"/>
    <w:rsid w:val="008B17A3"/>
    <w:rsid w:val="008E5BF9"/>
    <w:rsid w:val="00964C10"/>
    <w:rsid w:val="00991DC1"/>
    <w:rsid w:val="009C1155"/>
    <w:rsid w:val="009C2D67"/>
    <w:rsid w:val="00A3297F"/>
    <w:rsid w:val="00A578C3"/>
    <w:rsid w:val="00A72438"/>
    <w:rsid w:val="00A772B6"/>
    <w:rsid w:val="00AA4781"/>
    <w:rsid w:val="00AC0A67"/>
    <w:rsid w:val="00AD0D74"/>
    <w:rsid w:val="00AD34F1"/>
    <w:rsid w:val="00AF6EEC"/>
    <w:rsid w:val="00B04168"/>
    <w:rsid w:val="00B10651"/>
    <w:rsid w:val="00B22113"/>
    <w:rsid w:val="00B26C86"/>
    <w:rsid w:val="00B47389"/>
    <w:rsid w:val="00B5629B"/>
    <w:rsid w:val="00BB3CD3"/>
    <w:rsid w:val="00BE632F"/>
    <w:rsid w:val="00BF6A7F"/>
    <w:rsid w:val="00C26F20"/>
    <w:rsid w:val="00C3468A"/>
    <w:rsid w:val="00C36BBB"/>
    <w:rsid w:val="00C62B57"/>
    <w:rsid w:val="00CA27F5"/>
    <w:rsid w:val="00CA37DB"/>
    <w:rsid w:val="00CB7976"/>
    <w:rsid w:val="00CD31A1"/>
    <w:rsid w:val="00CD4F5F"/>
    <w:rsid w:val="00CD73B7"/>
    <w:rsid w:val="00CE2343"/>
    <w:rsid w:val="00D2206F"/>
    <w:rsid w:val="00D22AED"/>
    <w:rsid w:val="00D30AFB"/>
    <w:rsid w:val="00D46267"/>
    <w:rsid w:val="00D6491B"/>
    <w:rsid w:val="00D70DCE"/>
    <w:rsid w:val="00D76CC7"/>
    <w:rsid w:val="00D849DB"/>
    <w:rsid w:val="00DA1083"/>
    <w:rsid w:val="00DA5D9F"/>
    <w:rsid w:val="00DB3091"/>
    <w:rsid w:val="00DD31E9"/>
    <w:rsid w:val="00DD50F0"/>
    <w:rsid w:val="00DE6479"/>
    <w:rsid w:val="00E05335"/>
    <w:rsid w:val="00E13B9F"/>
    <w:rsid w:val="00E24552"/>
    <w:rsid w:val="00E31EC3"/>
    <w:rsid w:val="00E34951"/>
    <w:rsid w:val="00E5298F"/>
    <w:rsid w:val="00E867E2"/>
    <w:rsid w:val="00EC70B0"/>
    <w:rsid w:val="00ED262C"/>
    <w:rsid w:val="00EF2EB6"/>
    <w:rsid w:val="00F1667A"/>
    <w:rsid w:val="00F50AB9"/>
    <w:rsid w:val="00F7171C"/>
    <w:rsid w:val="00FB332A"/>
    <w:rsid w:val="00FC1C54"/>
    <w:rsid w:val="00FC541F"/>
    <w:rsid w:val="00FE0CC8"/>
    <w:rsid w:val="00FE5A6D"/>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0694"/>
  <w15:chartTrackingRefBased/>
  <w15:docId w15:val="{7FB64784-C8EE-400E-B284-2064DF9F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C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5C00"/>
    <w:rPr>
      <w:rFonts w:ascii="Tahoma" w:eastAsia="PMingLiU" w:hAnsi="Tahoma" w:cs="Tahoma"/>
      <w:sz w:val="16"/>
      <w:szCs w:val="16"/>
      <w:lang w:eastAsia="en-US"/>
    </w:rPr>
  </w:style>
  <w:style w:type="table" w:styleId="TableGrid">
    <w:name w:val="Table Grid"/>
    <w:basedOn w:val="TableNormal"/>
    <w:uiPriority w:val="59"/>
    <w:rsid w:val="006C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8A3"/>
    <w:pPr>
      <w:tabs>
        <w:tab w:val="center" w:pos="4320"/>
        <w:tab w:val="right" w:pos="8640"/>
      </w:tabs>
    </w:pPr>
  </w:style>
  <w:style w:type="character" w:customStyle="1" w:styleId="HeaderChar">
    <w:name w:val="Header Char"/>
    <w:link w:val="Header"/>
    <w:uiPriority w:val="99"/>
    <w:rsid w:val="007068A3"/>
    <w:rPr>
      <w:sz w:val="22"/>
      <w:szCs w:val="22"/>
      <w:lang w:eastAsia="en-US"/>
    </w:rPr>
  </w:style>
  <w:style w:type="paragraph" w:styleId="Footer">
    <w:name w:val="footer"/>
    <w:basedOn w:val="Normal"/>
    <w:link w:val="FooterChar"/>
    <w:uiPriority w:val="99"/>
    <w:unhideWhenUsed/>
    <w:rsid w:val="007068A3"/>
    <w:pPr>
      <w:tabs>
        <w:tab w:val="center" w:pos="4320"/>
        <w:tab w:val="right" w:pos="8640"/>
      </w:tabs>
    </w:pPr>
  </w:style>
  <w:style w:type="character" w:customStyle="1" w:styleId="FooterChar">
    <w:name w:val="Footer Char"/>
    <w:link w:val="Footer"/>
    <w:uiPriority w:val="99"/>
    <w:rsid w:val="007068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2F8B-B8ED-48D4-8C04-90C661F3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YY Ng</dc:creator>
  <cp:keywords/>
  <cp:lastModifiedBy>Ellen Chow</cp:lastModifiedBy>
  <cp:revision>4</cp:revision>
  <cp:lastPrinted>2023-01-20T08:29:00Z</cp:lastPrinted>
  <dcterms:created xsi:type="dcterms:W3CDTF">2023-01-18T08:54:00Z</dcterms:created>
  <dcterms:modified xsi:type="dcterms:W3CDTF">2023-01-20T08:36:00Z</dcterms:modified>
</cp:coreProperties>
</file>