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i/>
          <w:iCs/>
          <w:caps/>
          <w:sz w:val="24"/>
          <w:lang w:eastAsia="zh-TW"/>
        </w:rPr>
      </w:pPr>
      <w:r>
        <w:rPr>
          <w:i/>
          <w:iCs/>
          <w:caps/>
          <w:sz w:val="24"/>
          <w:lang w:eastAsia="zh-TW"/>
        </w:rPr>
        <w:t>香港交易及結算所有限公司及香港聯合交易所有限公司對本公</w:t>
      </w:r>
      <w:r>
        <w:rPr>
          <w:rFonts w:hint="eastAsia"/>
          <w:i/>
          <w:iCs/>
          <w:caps/>
          <w:sz w:val="24"/>
        </w:rPr>
        <w:t>告</w:t>
      </w:r>
      <w:r>
        <w:rPr>
          <w:rFonts w:hint="eastAsia"/>
          <w:i/>
          <w:iCs/>
          <w:caps/>
          <w:sz w:val="24"/>
          <w:lang w:eastAsia="zh-TW"/>
        </w:rPr>
        <w:t>的內容概不負責，</w:t>
      </w:r>
      <w:r>
        <w:rPr>
          <w:rFonts w:hint="eastAsia"/>
          <w:i/>
          <w:sz w:val="24"/>
          <w:lang w:eastAsia="zh-TW"/>
        </w:rPr>
        <w:t>對其準確性或完整性亦不發表任何聲明</w:t>
      </w:r>
      <w:r>
        <w:rPr>
          <w:rFonts w:hint="eastAsia"/>
          <w:i/>
          <w:iCs/>
          <w:caps/>
          <w:sz w:val="24"/>
          <w:lang w:eastAsia="zh-TW"/>
        </w:rPr>
        <w:t>，且表明不會就本公</w:t>
      </w:r>
      <w:r>
        <w:rPr>
          <w:rFonts w:hint="eastAsia"/>
          <w:i/>
          <w:iCs/>
          <w:caps/>
          <w:sz w:val="24"/>
        </w:rPr>
        <w:t>告</w:t>
      </w:r>
      <w:r>
        <w:rPr>
          <w:rFonts w:hint="eastAsia"/>
          <w:i/>
          <w:iCs/>
          <w:caps/>
          <w:sz w:val="24"/>
          <w:lang w:eastAsia="zh-TW"/>
        </w:rPr>
        <w:t>全部或任何部分內容所導致或因倚賴該等內容而產生的任何損失承擔任何責任。</w:t>
      </w:r>
    </w:p>
    <w:p>
      <w:pPr>
        <w:jc w:val="center"/>
        <w:rPr>
          <w:i/>
          <w:iCs/>
          <w:caps/>
          <w:sz w:val="24"/>
        </w:rPr>
      </w:pPr>
      <w:r>
        <w:drawing>
          <wp:inline distT="0" distB="0" distL="0" distR="0">
            <wp:extent cx="3114675" cy="140970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114675" cy="1409700"/>
                    </a:xfrm>
                    <a:prstGeom prst="rect">
                      <a:avLst/>
                    </a:prstGeom>
                    <a:noFill/>
                    <a:ln>
                      <a:noFill/>
                    </a:ln>
                  </pic:spPr>
                </pic:pic>
              </a:graphicData>
            </a:graphic>
          </wp:inline>
        </w:drawing>
      </w:r>
    </w:p>
    <w:p>
      <w:pPr>
        <w:spacing w:line="240" w:lineRule="exact"/>
        <w:jc w:val="center"/>
        <w:rPr>
          <w:i/>
          <w:iCs/>
          <w:sz w:val="24"/>
        </w:rPr>
      </w:pPr>
      <w:r>
        <w:rPr>
          <w:i/>
          <w:iCs/>
          <w:caps/>
          <w:sz w:val="24"/>
          <w:lang w:eastAsia="zh-TW"/>
        </w:rPr>
        <w:t>(</w:t>
      </w:r>
      <w:r>
        <w:rPr>
          <w:rFonts w:hint="eastAsia"/>
          <w:i/>
          <w:iCs/>
          <w:sz w:val="24"/>
          <w:lang w:eastAsia="zh-TW"/>
        </w:rPr>
        <w:t>於中華人民共和國註冊成立的股份有限公司</w:t>
      </w:r>
      <w:r>
        <w:rPr>
          <w:i/>
          <w:iCs/>
          <w:sz w:val="24"/>
          <w:lang w:eastAsia="zh-TW"/>
        </w:rPr>
        <w:t>)</w:t>
      </w:r>
    </w:p>
    <w:p>
      <w:pPr>
        <w:spacing w:before="156" w:beforeLines="50" w:line="240" w:lineRule="exact"/>
        <w:jc w:val="center"/>
        <w:rPr>
          <w:b/>
          <w:bCs/>
          <w:sz w:val="24"/>
          <w:lang w:eastAsia="zh-TW"/>
        </w:rPr>
      </w:pPr>
      <w:r>
        <w:rPr>
          <w:b/>
          <w:bCs/>
          <w:sz w:val="24"/>
          <w:lang w:eastAsia="zh-TW"/>
        </w:rPr>
        <w:t xml:space="preserve"> (</w:t>
      </w:r>
      <w:r>
        <w:rPr>
          <w:rFonts w:hint="eastAsia"/>
          <w:b/>
          <w:bCs/>
          <w:sz w:val="24"/>
          <w:lang w:eastAsia="zh-TW"/>
        </w:rPr>
        <w:t>股份代號</w:t>
      </w:r>
      <w:r>
        <w:rPr>
          <w:b/>
          <w:bCs/>
          <w:sz w:val="24"/>
          <w:lang w:eastAsia="zh-TW"/>
        </w:rPr>
        <w:t xml:space="preserve">: </w:t>
      </w:r>
      <w:r>
        <w:rPr>
          <w:rFonts w:hint="eastAsia"/>
          <w:b/>
          <w:bCs/>
          <w:sz w:val="24"/>
        </w:rPr>
        <w:t>0</w:t>
      </w:r>
      <w:r>
        <w:rPr>
          <w:b/>
          <w:bCs/>
          <w:sz w:val="24"/>
          <w:lang w:eastAsia="zh-TW"/>
        </w:rPr>
        <w:t>0598)</w:t>
      </w:r>
    </w:p>
    <w:p>
      <w:pPr>
        <w:autoSpaceDE w:val="0"/>
        <w:autoSpaceDN w:val="0"/>
        <w:adjustRightInd w:val="0"/>
        <w:spacing w:line="400" w:lineRule="exact"/>
        <w:jc w:val="center"/>
        <w:rPr>
          <w:b/>
          <w:bCs/>
          <w:kern w:val="0"/>
          <w:sz w:val="28"/>
          <w:szCs w:val="28"/>
          <w:lang w:eastAsia="zh-TW"/>
        </w:rPr>
      </w:pPr>
    </w:p>
    <w:p>
      <w:pPr>
        <w:autoSpaceDE w:val="0"/>
        <w:autoSpaceDN w:val="0"/>
        <w:adjustRightInd w:val="0"/>
        <w:spacing w:line="322" w:lineRule="exact"/>
        <w:jc w:val="center"/>
        <w:rPr>
          <w:rFonts w:eastAsiaTheme="minorEastAsia"/>
          <w:b/>
          <w:color w:val="000000"/>
          <w:kern w:val="0"/>
          <w:sz w:val="28"/>
          <w:lang w:eastAsia="zh-TW"/>
        </w:rPr>
      </w:pPr>
      <w:r>
        <w:rPr>
          <w:rFonts w:hint="eastAsia" w:eastAsiaTheme="minorEastAsia"/>
          <w:b/>
          <w:color w:val="000000"/>
          <w:kern w:val="0"/>
          <w:sz w:val="28"/>
        </w:rPr>
        <w:t>二</w:t>
      </w:r>
      <w:r>
        <w:rPr>
          <w:rFonts w:eastAsiaTheme="minorEastAsia"/>
          <w:b/>
          <w:color w:val="000000"/>
          <w:kern w:val="0"/>
          <w:sz w:val="28"/>
        </w:rPr>
        <w:t>零二</w:t>
      </w:r>
      <w:r>
        <w:rPr>
          <w:rFonts w:hint="eastAsia" w:eastAsiaTheme="minorEastAsia"/>
          <w:b/>
          <w:color w:val="000000"/>
          <w:kern w:val="0"/>
          <w:sz w:val="28"/>
        </w:rPr>
        <w:t>二</w:t>
      </w:r>
      <w:r>
        <w:rPr>
          <w:rFonts w:hint="eastAsia" w:eastAsiaTheme="minorEastAsia"/>
          <w:b/>
          <w:color w:val="000000"/>
          <w:kern w:val="0"/>
          <w:sz w:val="28"/>
          <w:lang w:eastAsia="zh-TW"/>
        </w:rPr>
        <w:t>年</w:t>
      </w:r>
      <w:r>
        <w:rPr>
          <w:rFonts w:hint="eastAsia" w:eastAsiaTheme="minorEastAsia"/>
          <w:b/>
          <w:color w:val="000000"/>
          <w:kern w:val="0"/>
          <w:sz w:val="28"/>
        </w:rPr>
        <w:t>第二次臨時</w:t>
      </w:r>
      <w:r>
        <w:rPr>
          <w:rFonts w:hint="eastAsia" w:eastAsiaTheme="minorEastAsia"/>
          <w:b/>
          <w:color w:val="000000"/>
          <w:kern w:val="0"/>
          <w:sz w:val="28"/>
          <w:lang w:eastAsia="zh-TW"/>
        </w:rPr>
        <w:t>股東大會之投票表決結果</w:t>
      </w:r>
    </w:p>
    <w:p>
      <w:pPr>
        <w:autoSpaceDE w:val="0"/>
        <w:autoSpaceDN w:val="0"/>
        <w:adjustRightInd w:val="0"/>
        <w:spacing w:line="200" w:lineRule="exact"/>
        <w:jc w:val="left"/>
        <w:rPr>
          <w:rFonts w:eastAsiaTheme="minorEastAsia"/>
          <w:kern w:val="0"/>
          <w:sz w:val="24"/>
        </w:rPr>
      </w:pPr>
    </w:p>
    <w:p>
      <w:pPr>
        <w:autoSpaceDE w:val="0"/>
        <w:autoSpaceDN w:val="0"/>
        <w:adjustRightInd w:val="0"/>
        <w:spacing w:line="200" w:lineRule="exact"/>
        <w:jc w:val="left"/>
        <w:rPr>
          <w:rFonts w:eastAsiaTheme="minorEastAsia"/>
          <w:kern w:val="0"/>
          <w:sz w:val="24"/>
        </w:rPr>
      </w:pPr>
    </w:p>
    <w:p>
      <w:pPr>
        <w:autoSpaceDE w:val="0"/>
        <w:autoSpaceDN w:val="0"/>
        <w:adjustRightInd w:val="0"/>
        <w:spacing w:before="156" w:beforeLines="50" w:after="156" w:afterLines="50" w:line="360" w:lineRule="exact"/>
        <w:rPr>
          <w:rFonts w:eastAsia="PMingLiU"/>
          <w:kern w:val="0"/>
          <w:sz w:val="24"/>
          <w:szCs w:val="22"/>
          <w:lang w:eastAsia="zh-TW"/>
        </w:rPr>
      </w:pPr>
      <w:r>
        <w:rPr>
          <w:rFonts w:hint="eastAsia"/>
          <w:kern w:val="0"/>
          <w:sz w:val="24"/>
          <w:szCs w:val="22"/>
          <w:lang w:eastAsia="zh-TW"/>
        </w:rPr>
        <w:t>茲提述中國外運股份有限公司（「</w:t>
      </w:r>
      <w:r>
        <w:rPr>
          <w:rFonts w:hint="eastAsia"/>
          <w:b/>
          <w:kern w:val="0"/>
          <w:sz w:val="24"/>
          <w:szCs w:val="22"/>
          <w:lang w:eastAsia="zh-TW"/>
        </w:rPr>
        <w:t>本公司</w:t>
      </w:r>
      <w:r>
        <w:rPr>
          <w:rFonts w:hint="eastAsia"/>
          <w:kern w:val="0"/>
          <w:sz w:val="24"/>
          <w:szCs w:val="22"/>
          <w:lang w:eastAsia="zh-TW"/>
        </w:rPr>
        <w:t>」）於二零</w:t>
      </w:r>
      <w:r>
        <w:rPr>
          <w:rFonts w:hint="eastAsia"/>
          <w:kern w:val="0"/>
          <w:sz w:val="24"/>
          <w:szCs w:val="22"/>
        </w:rPr>
        <w:t>二二</w:t>
      </w:r>
      <w:r>
        <w:rPr>
          <w:rFonts w:hint="eastAsia"/>
          <w:kern w:val="0"/>
          <w:sz w:val="24"/>
          <w:szCs w:val="22"/>
          <w:lang w:eastAsia="zh-TW"/>
        </w:rPr>
        <w:t>年</w:t>
      </w:r>
      <w:r>
        <w:rPr>
          <w:rFonts w:hint="eastAsia"/>
          <w:kern w:val="0"/>
          <w:sz w:val="24"/>
          <w:szCs w:val="22"/>
        </w:rPr>
        <w:t>八</w:t>
      </w:r>
      <w:r>
        <w:rPr>
          <w:rFonts w:hint="eastAsia"/>
          <w:kern w:val="0"/>
          <w:sz w:val="24"/>
          <w:szCs w:val="22"/>
          <w:lang w:eastAsia="zh-TW"/>
        </w:rPr>
        <w:t>月</w:t>
      </w:r>
      <w:r>
        <w:rPr>
          <w:rFonts w:hint="eastAsia"/>
          <w:kern w:val="0"/>
          <w:sz w:val="24"/>
          <w:szCs w:val="22"/>
        </w:rPr>
        <w:t>三</w:t>
      </w:r>
      <w:r>
        <w:rPr>
          <w:rFonts w:hint="eastAsia"/>
          <w:kern w:val="0"/>
          <w:sz w:val="24"/>
          <w:szCs w:val="22"/>
          <w:lang w:eastAsia="zh-TW"/>
        </w:rPr>
        <w:t>日發佈之通函（「</w:t>
      </w:r>
      <w:r>
        <w:rPr>
          <w:rFonts w:hint="eastAsia"/>
          <w:b/>
          <w:kern w:val="0"/>
          <w:sz w:val="24"/>
          <w:szCs w:val="22"/>
          <w:lang w:eastAsia="zh-TW"/>
        </w:rPr>
        <w:t>該通函</w:t>
      </w:r>
      <w:r>
        <w:rPr>
          <w:rFonts w:hint="eastAsia"/>
          <w:kern w:val="0"/>
          <w:sz w:val="24"/>
          <w:szCs w:val="22"/>
          <w:lang w:eastAsia="zh-TW"/>
        </w:rPr>
        <w:t>」），內容有關（其中包括）</w:t>
      </w:r>
      <w:r>
        <w:rPr>
          <w:rFonts w:hint="eastAsia"/>
          <w:kern w:val="0"/>
          <w:sz w:val="24"/>
          <w:szCs w:val="22"/>
        </w:rPr>
        <w:t>本公司擬于二零二二年八月二十三日假座中華人民共和國北京市朝陽區安定路</w:t>
      </w:r>
      <w:r>
        <w:rPr>
          <w:kern w:val="0"/>
          <w:sz w:val="24"/>
          <w:szCs w:val="22"/>
        </w:rPr>
        <w:t>5</w:t>
      </w:r>
      <w:r>
        <w:rPr>
          <w:rFonts w:hint="eastAsia"/>
          <w:kern w:val="0"/>
          <w:sz w:val="24"/>
          <w:szCs w:val="22"/>
        </w:rPr>
        <w:t>號院</w:t>
      </w:r>
      <w:r>
        <w:rPr>
          <w:kern w:val="0"/>
          <w:sz w:val="24"/>
          <w:szCs w:val="22"/>
        </w:rPr>
        <w:t>10</w:t>
      </w:r>
      <w:r>
        <w:rPr>
          <w:rFonts w:hint="eastAsia"/>
          <w:kern w:val="0"/>
          <w:sz w:val="24"/>
          <w:szCs w:val="22"/>
        </w:rPr>
        <w:t>號樓外運大廈</w:t>
      </w:r>
      <w:r>
        <w:rPr>
          <w:kern w:val="0"/>
          <w:sz w:val="24"/>
          <w:szCs w:val="22"/>
        </w:rPr>
        <w:t>B</w:t>
      </w:r>
      <w:r>
        <w:rPr>
          <w:rFonts w:hint="eastAsia"/>
          <w:kern w:val="0"/>
          <w:sz w:val="24"/>
          <w:szCs w:val="22"/>
        </w:rPr>
        <w:t>座</w:t>
      </w:r>
      <w:r>
        <w:rPr>
          <w:kern w:val="0"/>
          <w:sz w:val="24"/>
          <w:szCs w:val="22"/>
        </w:rPr>
        <w:t>11</w:t>
      </w:r>
      <w:r>
        <w:rPr>
          <w:rFonts w:hint="eastAsia"/>
          <w:kern w:val="0"/>
          <w:sz w:val="24"/>
          <w:szCs w:val="22"/>
        </w:rPr>
        <w:t>層</w:t>
      </w:r>
      <w:r>
        <w:rPr>
          <w:kern w:val="0"/>
          <w:sz w:val="24"/>
          <w:szCs w:val="22"/>
        </w:rPr>
        <w:t>1</w:t>
      </w:r>
      <w:r>
        <w:rPr>
          <w:rFonts w:hint="eastAsia"/>
          <w:kern w:val="0"/>
          <w:sz w:val="24"/>
          <w:szCs w:val="22"/>
        </w:rPr>
        <w:t>號會議室（郵編</w:t>
      </w:r>
      <w:r>
        <w:rPr>
          <w:kern w:val="0"/>
          <w:sz w:val="24"/>
          <w:szCs w:val="22"/>
        </w:rPr>
        <w:t>100029</w:t>
      </w:r>
      <w:r>
        <w:rPr>
          <w:rFonts w:hint="eastAsia"/>
          <w:kern w:val="0"/>
          <w:sz w:val="24"/>
          <w:szCs w:val="22"/>
        </w:rPr>
        <w:t>）舉行臨時股東大會</w:t>
      </w:r>
      <w:r>
        <w:rPr>
          <w:rFonts w:hint="eastAsia"/>
          <w:kern w:val="0"/>
          <w:sz w:val="24"/>
          <w:szCs w:val="22"/>
          <w:lang w:eastAsia="zh-TW"/>
        </w:rPr>
        <w:t>。除另有界定外，本公告所用詞彙與該通函所界定者具有相同涵義。</w:t>
      </w:r>
    </w:p>
    <w:p>
      <w:pPr>
        <w:autoSpaceDE w:val="0"/>
        <w:autoSpaceDN w:val="0"/>
        <w:adjustRightInd w:val="0"/>
        <w:spacing w:before="156" w:beforeLines="50" w:after="156" w:afterLines="50" w:line="360" w:lineRule="exact"/>
        <w:rPr>
          <w:rFonts w:eastAsia="PMingLiU"/>
          <w:kern w:val="0"/>
          <w:sz w:val="24"/>
          <w:szCs w:val="22"/>
          <w:lang w:eastAsia="zh-TW"/>
        </w:rPr>
      </w:pPr>
      <w:r>
        <w:rPr>
          <w:rFonts w:hint="eastAsia"/>
          <w:kern w:val="0"/>
          <w:sz w:val="24"/>
          <w:szCs w:val="22"/>
          <w:lang w:eastAsia="zh-TW"/>
        </w:rPr>
        <w:t>本公司董事會宣佈，</w:t>
      </w:r>
      <w:r>
        <w:rPr>
          <w:rFonts w:hint="eastAsia"/>
          <w:kern w:val="0"/>
          <w:sz w:val="24"/>
          <w:szCs w:val="22"/>
        </w:rPr>
        <w:t>臨時</w:t>
      </w:r>
      <w:r>
        <w:rPr>
          <w:rFonts w:hint="eastAsia"/>
          <w:kern w:val="0"/>
          <w:sz w:val="24"/>
          <w:szCs w:val="22"/>
          <w:lang w:eastAsia="zh-TW"/>
        </w:rPr>
        <w:t>股東大會通告中的決議案已獲股東以投票表決方式通過。</w:t>
      </w:r>
    </w:p>
    <w:p>
      <w:pPr>
        <w:autoSpaceDE w:val="0"/>
        <w:autoSpaceDN w:val="0"/>
        <w:adjustRightInd w:val="0"/>
        <w:spacing w:before="156" w:beforeLines="50" w:after="156" w:afterLines="50" w:line="340" w:lineRule="exact"/>
        <w:rPr>
          <w:kern w:val="0"/>
          <w:sz w:val="24"/>
          <w:lang w:eastAsia="zh-TW"/>
        </w:rPr>
      </w:pPr>
      <w:r>
        <w:rPr>
          <w:rFonts w:hint="eastAsia" w:ascii="宋体" w:hAnsi="宋体" w:cs="宋体"/>
          <w:sz w:val="24"/>
        </w:rPr>
        <w:t>本公司副董事長宋德星先生、執行董事宋嶸先生、非執行董事江艦先生</w:t>
      </w:r>
      <w:r>
        <w:rPr>
          <w:rFonts w:ascii="宋体" w:hAnsi="宋体" w:cs="宋体"/>
          <w:sz w:val="24"/>
        </w:rPr>
        <w:t>以及獨立非執行董事</w:t>
      </w:r>
      <w:r>
        <w:rPr>
          <w:rFonts w:hint="eastAsia" w:ascii="宋体" w:hAnsi="宋体" w:cs="宋体"/>
          <w:sz w:val="24"/>
        </w:rPr>
        <w:t>王泰文先生、孟焰先生、宋海清先生和李倩女士</w:t>
      </w:r>
      <w:r>
        <w:rPr>
          <w:rFonts w:ascii="宋体" w:hAnsi="宋体" w:cs="宋体"/>
          <w:sz w:val="24"/>
        </w:rPr>
        <w:t>已出席</w:t>
      </w:r>
      <w:r>
        <w:rPr>
          <w:rFonts w:hint="eastAsia" w:ascii="宋体" w:hAnsi="宋体" w:cs="宋体"/>
          <w:sz w:val="24"/>
        </w:rPr>
        <w:t>臨時股東大會</w:t>
      </w:r>
      <w:r>
        <w:rPr>
          <w:rFonts w:ascii="宋体" w:hAnsi="宋体" w:cs="宋体"/>
          <w:sz w:val="24"/>
        </w:rPr>
        <w:t>。</w:t>
      </w:r>
      <w:r>
        <w:rPr>
          <w:rFonts w:hint="eastAsia" w:ascii="宋体" w:hAnsi="宋体" w:cs="宋体"/>
          <w:sz w:val="24"/>
        </w:rPr>
        <w:t>本公司非執行董事劉威武先生</w:t>
      </w:r>
      <w:r>
        <w:rPr>
          <w:rFonts w:hint="eastAsia" w:ascii="宋体" w:hAnsi="宋体" w:cs="宋体"/>
          <w:sz w:val="24"/>
          <w:lang w:eastAsia="zh-CN"/>
        </w:rPr>
        <w:t>、</w:t>
      </w:r>
      <w:r>
        <w:rPr>
          <w:rFonts w:hint="eastAsia" w:ascii="宋体" w:hAnsi="宋体" w:cs="宋体"/>
          <w:sz w:val="24"/>
        </w:rPr>
        <w:t>鄧偉棟先生和許克威先生因其他事務安排未能出席臨時股東大會。</w:t>
      </w:r>
    </w:p>
    <w:p>
      <w:pPr>
        <w:autoSpaceDE w:val="0"/>
        <w:autoSpaceDN w:val="0"/>
        <w:adjustRightInd w:val="0"/>
        <w:spacing w:before="156" w:beforeLines="50" w:after="156" w:afterLines="50" w:line="360" w:lineRule="exact"/>
        <w:rPr>
          <w:b w:val="0"/>
          <w:kern w:val="0"/>
          <w:sz w:val="24"/>
          <w:szCs w:val="22"/>
        </w:rPr>
      </w:pPr>
      <w:r>
        <w:rPr>
          <w:rFonts w:hint="eastAsia"/>
          <w:kern w:val="0"/>
          <w:sz w:val="24"/>
          <w:szCs w:val="22"/>
          <w:lang w:eastAsia="zh-TW"/>
        </w:rPr>
        <w:t>於</w:t>
      </w:r>
      <w:r>
        <w:rPr>
          <w:rFonts w:hint="eastAsia" w:ascii="宋体" w:hAnsi="宋体" w:cs="宋体"/>
          <w:sz w:val="24"/>
        </w:rPr>
        <w:t>臨時股東大會</w:t>
      </w:r>
      <w:r>
        <w:rPr>
          <w:rFonts w:hint="eastAsia"/>
          <w:kern w:val="0"/>
          <w:sz w:val="24"/>
          <w:szCs w:val="22"/>
          <w:lang w:eastAsia="zh-TW"/>
        </w:rPr>
        <w:t>上提呈的決議案</w:t>
      </w:r>
      <w:r>
        <w:rPr>
          <w:rFonts w:hint="eastAsia"/>
          <w:b w:val="0"/>
          <w:kern w:val="0"/>
          <w:sz w:val="24"/>
          <w:szCs w:val="22"/>
          <w:lang w:eastAsia="zh-TW"/>
        </w:rPr>
        <w:t>投票表決結果</w:t>
      </w:r>
      <w:r>
        <w:rPr>
          <w:rFonts w:hint="eastAsia"/>
          <w:b w:val="0"/>
          <w:kern w:val="0"/>
          <w:sz w:val="24"/>
          <w:szCs w:val="22"/>
        </w:rPr>
        <w:t>載列如下：</w:t>
      </w:r>
    </w:p>
    <w:p>
      <w:pPr>
        <w:spacing w:before="156" w:beforeLines="50" w:after="156" w:afterLines="50" w:line="400" w:lineRule="exact"/>
        <w:rPr>
          <w:b/>
          <w:sz w:val="24"/>
        </w:rPr>
      </w:pPr>
      <w:r>
        <w:rPr>
          <w:rFonts w:hint="eastAsia"/>
          <w:b/>
          <w:sz w:val="24"/>
        </w:rPr>
        <w:t>普通</w:t>
      </w:r>
      <w:r>
        <w:rPr>
          <w:rFonts w:hint="eastAsia"/>
          <w:b/>
          <w:sz w:val="24"/>
          <w:lang w:eastAsia="zh-TW"/>
        </w:rPr>
        <w:t>決議案</w:t>
      </w:r>
    </w:p>
    <w:p>
      <w:pPr>
        <w:pStyle w:val="23"/>
        <w:spacing w:before="156" w:beforeLines="50" w:after="156" w:afterLines="50" w:line="400" w:lineRule="exact"/>
        <w:ind w:left="360" w:hanging="360" w:firstLineChars="0"/>
        <w:rPr>
          <w:rFonts w:eastAsia="PMingLiU"/>
          <w:sz w:val="24"/>
          <w:lang w:eastAsia="zh-TW"/>
        </w:rPr>
      </w:pPr>
      <w:r>
        <w:rPr>
          <w:sz w:val="24"/>
          <w:lang w:eastAsia="zh-TW"/>
        </w:rPr>
        <w:t>1</w:t>
      </w:r>
      <w:r>
        <w:rPr>
          <w:rFonts w:hint="eastAsia"/>
          <w:sz w:val="24"/>
          <w:lang w:eastAsia="zh-TW"/>
        </w:rPr>
        <w:t>. 審議及批准委任馮波鳴先生為本公司非執行董事，任期自股東於臨時股東大會批准之日起至第三屆董事會屆滿之日止。</w:t>
      </w:r>
    </w:p>
    <w:p>
      <w:pPr>
        <w:spacing w:before="0" w:beforeLines="0" w:after="0" w:afterLines="0" w:line="260" w:lineRule="exact"/>
        <w:rPr>
          <w:sz w:val="24"/>
          <w:lang w:eastAsia="zh-TW"/>
        </w:rPr>
      </w:pPr>
      <w:r>
        <w:rPr>
          <w:rFonts w:hint="eastAsia"/>
          <w:sz w:val="24"/>
          <w:lang w:eastAsia="zh-TW"/>
        </w:rPr>
        <w:t>投票表決結果：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2"/>
        <w:gridCol w:w="1954"/>
        <w:gridCol w:w="1162"/>
        <w:gridCol w:w="1691"/>
        <w:gridCol w:w="1162"/>
        <w:gridCol w:w="1096"/>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9" w:type="pct"/>
            <w:vMerge w:val="restart"/>
            <w:vAlign w:val="center"/>
          </w:tcPr>
          <w:p>
            <w:pPr>
              <w:spacing w:beforeLines="0" w:afterLines="0" w:line="260" w:lineRule="exact"/>
              <w:jc w:val="center"/>
              <w:rPr>
                <w:b/>
                <w:color w:val="000000"/>
                <w:sz w:val="24"/>
                <w:lang w:eastAsia="zh-TW"/>
              </w:rPr>
            </w:pPr>
            <w:r>
              <w:rPr>
                <w:rFonts w:hint="eastAsia"/>
                <w:b/>
                <w:color w:val="000000"/>
                <w:sz w:val="24"/>
                <w:lang w:eastAsia="zh-TW"/>
              </w:rPr>
              <w:t>股東類型</w:t>
            </w:r>
          </w:p>
        </w:tc>
        <w:tc>
          <w:tcPr>
            <w:tcW w:w="1563" w:type="pct"/>
            <w:gridSpan w:val="2"/>
            <w:vAlign w:val="center"/>
          </w:tcPr>
          <w:p>
            <w:pPr>
              <w:spacing w:beforeLines="0" w:afterLines="0" w:line="260" w:lineRule="exact"/>
              <w:jc w:val="center"/>
              <w:rPr>
                <w:b/>
                <w:color w:val="000000"/>
                <w:sz w:val="24"/>
                <w:lang w:eastAsia="zh-TW"/>
              </w:rPr>
            </w:pPr>
            <w:r>
              <w:rPr>
                <w:rFonts w:hint="eastAsia"/>
                <w:b/>
                <w:color w:val="000000"/>
                <w:sz w:val="24"/>
                <w:lang w:eastAsia="zh-TW"/>
              </w:rPr>
              <w:t>同意</w:t>
            </w:r>
          </w:p>
        </w:tc>
        <w:tc>
          <w:tcPr>
            <w:tcW w:w="1431" w:type="pct"/>
            <w:gridSpan w:val="2"/>
            <w:vAlign w:val="center"/>
          </w:tcPr>
          <w:p>
            <w:pPr>
              <w:spacing w:beforeLines="0" w:afterLines="0" w:line="260" w:lineRule="exact"/>
              <w:jc w:val="center"/>
              <w:rPr>
                <w:b/>
                <w:color w:val="000000"/>
                <w:sz w:val="24"/>
                <w:lang w:eastAsia="zh-TW"/>
              </w:rPr>
            </w:pPr>
            <w:r>
              <w:rPr>
                <w:rFonts w:hint="eastAsia"/>
                <w:b/>
                <w:color w:val="000000"/>
                <w:sz w:val="24"/>
                <w:lang w:eastAsia="zh-TW"/>
              </w:rPr>
              <w:t>反對</w:t>
            </w:r>
          </w:p>
        </w:tc>
        <w:tc>
          <w:tcPr>
            <w:tcW w:w="1067" w:type="pct"/>
            <w:gridSpan w:val="2"/>
            <w:vAlign w:val="center"/>
          </w:tcPr>
          <w:p>
            <w:pPr>
              <w:spacing w:beforeLines="0" w:afterLines="0" w:line="260" w:lineRule="exact"/>
              <w:jc w:val="center"/>
              <w:rPr>
                <w:b/>
                <w:color w:val="000000"/>
                <w:sz w:val="24"/>
                <w:lang w:eastAsia="zh-TW"/>
              </w:rPr>
            </w:pPr>
            <w:r>
              <w:rPr>
                <w:rFonts w:hint="eastAsia"/>
                <w:b/>
                <w:color w:val="000000"/>
                <w:sz w:val="24"/>
                <w:lang w:eastAsia="zh-TW"/>
              </w:rPr>
              <w:t>棄權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9" w:type="pct"/>
            <w:vMerge w:val="continue"/>
            <w:vAlign w:val="center"/>
          </w:tcPr>
          <w:p>
            <w:pPr>
              <w:spacing w:beforeLines="0" w:afterLines="0" w:line="260" w:lineRule="exact"/>
              <w:jc w:val="center"/>
              <w:rPr>
                <w:b/>
                <w:color w:val="000000"/>
                <w:sz w:val="24"/>
                <w:lang w:eastAsia="zh-TW"/>
              </w:rPr>
            </w:pPr>
          </w:p>
        </w:tc>
        <w:tc>
          <w:tcPr>
            <w:tcW w:w="980" w:type="pct"/>
            <w:vAlign w:val="center"/>
          </w:tcPr>
          <w:p>
            <w:pPr>
              <w:spacing w:beforeLines="0" w:afterLines="0" w:line="260" w:lineRule="exact"/>
              <w:jc w:val="center"/>
              <w:rPr>
                <w:b/>
                <w:color w:val="000000"/>
                <w:sz w:val="24"/>
                <w:lang w:eastAsia="zh-TW"/>
              </w:rPr>
            </w:pPr>
            <w:r>
              <w:rPr>
                <w:rFonts w:hint="eastAsia"/>
                <w:b/>
                <w:color w:val="000000"/>
                <w:sz w:val="24"/>
                <w:lang w:eastAsia="zh-TW"/>
              </w:rPr>
              <w:t>票數</w:t>
            </w:r>
          </w:p>
        </w:tc>
        <w:tc>
          <w:tcPr>
            <w:tcW w:w="583" w:type="pct"/>
            <w:vAlign w:val="center"/>
          </w:tcPr>
          <w:p>
            <w:pPr>
              <w:spacing w:beforeLines="0" w:afterLines="0" w:line="260" w:lineRule="exact"/>
              <w:jc w:val="center"/>
              <w:rPr>
                <w:b/>
                <w:color w:val="000000"/>
                <w:sz w:val="24"/>
                <w:lang w:eastAsia="zh-TW"/>
              </w:rPr>
            </w:pPr>
            <w:r>
              <w:rPr>
                <w:rFonts w:hint="eastAsia"/>
                <w:b/>
                <w:color w:val="000000"/>
                <w:sz w:val="24"/>
                <w:lang w:eastAsia="zh-TW"/>
              </w:rPr>
              <w:t>比例（</w:t>
            </w:r>
            <w:r>
              <w:rPr>
                <w:b/>
                <w:color w:val="000000"/>
                <w:sz w:val="24"/>
                <w:lang w:eastAsia="zh-TW"/>
              </w:rPr>
              <w:t>%</w:t>
            </w:r>
            <w:r>
              <w:rPr>
                <w:rFonts w:hint="eastAsia"/>
                <w:b/>
                <w:color w:val="000000"/>
                <w:sz w:val="24"/>
                <w:lang w:eastAsia="zh-TW"/>
              </w:rPr>
              <w:t>）</w:t>
            </w:r>
          </w:p>
        </w:tc>
        <w:tc>
          <w:tcPr>
            <w:tcW w:w="848" w:type="pct"/>
            <w:vAlign w:val="center"/>
          </w:tcPr>
          <w:p>
            <w:pPr>
              <w:spacing w:beforeLines="0" w:afterLines="0" w:line="260" w:lineRule="exact"/>
              <w:jc w:val="center"/>
              <w:rPr>
                <w:b/>
                <w:color w:val="000000"/>
                <w:sz w:val="24"/>
                <w:lang w:eastAsia="zh-TW"/>
              </w:rPr>
            </w:pPr>
            <w:r>
              <w:rPr>
                <w:rFonts w:hint="eastAsia"/>
                <w:b/>
                <w:color w:val="000000"/>
                <w:sz w:val="24"/>
                <w:lang w:eastAsia="zh-TW"/>
              </w:rPr>
              <w:t>票數</w:t>
            </w:r>
          </w:p>
        </w:tc>
        <w:tc>
          <w:tcPr>
            <w:tcW w:w="583" w:type="pct"/>
            <w:vAlign w:val="center"/>
          </w:tcPr>
          <w:p>
            <w:pPr>
              <w:spacing w:beforeLines="0" w:afterLines="0" w:line="260" w:lineRule="exact"/>
              <w:jc w:val="center"/>
              <w:rPr>
                <w:b/>
                <w:color w:val="000000"/>
                <w:sz w:val="24"/>
                <w:lang w:eastAsia="zh-TW"/>
              </w:rPr>
            </w:pPr>
            <w:r>
              <w:rPr>
                <w:rFonts w:hint="eastAsia"/>
                <w:b/>
                <w:color w:val="000000"/>
                <w:sz w:val="24"/>
                <w:lang w:eastAsia="zh-TW"/>
              </w:rPr>
              <w:t>比例（</w:t>
            </w:r>
            <w:r>
              <w:rPr>
                <w:b/>
                <w:color w:val="000000"/>
                <w:sz w:val="24"/>
                <w:lang w:eastAsia="zh-TW"/>
              </w:rPr>
              <w:t>%</w:t>
            </w:r>
            <w:r>
              <w:rPr>
                <w:rFonts w:hint="eastAsia"/>
                <w:b/>
                <w:color w:val="000000"/>
                <w:sz w:val="24"/>
                <w:lang w:eastAsia="zh-TW"/>
              </w:rPr>
              <w:t>）</w:t>
            </w:r>
          </w:p>
        </w:tc>
        <w:tc>
          <w:tcPr>
            <w:tcW w:w="550" w:type="pct"/>
            <w:vAlign w:val="center"/>
          </w:tcPr>
          <w:p>
            <w:pPr>
              <w:spacing w:beforeLines="0" w:afterLines="0" w:line="260" w:lineRule="exact"/>
              <w:jc w:val="center"/>
              <w:rPr>
                <w:b/>
                <w:color w:val="000000"/>
                <w:sz w:val="24"/>
                <w:lang w:eastAsia="zh-TW"/>
              </w:rPr>
            </w:pPr>
            <w:r>
              <w:rPr>
                <w:rFonts w:hint="eastAsia"/>
                <w:b/>
                <w:color w:val="000000"/>
                <w:sz w:val="24"/>
                <w:lang w:eastAsia="zh-TW"/>
              </w:rPr>
              <w:t>票數</w:t>
            </w:r>
          </w:p>
        </w:tc>
        <w:tc>
          <w:tcPr>
            <w:tcW w:w="517" w:type="pct"/>
            <w:vAlign w:val="center"/>
          </w:tcPr>
          <w:p>
            <w:pPr>
              <w:spacing w:beforeLines="0" w:afterLines="0" w:line="260" w:lineRule="exact"/>
              <w:jc w:val="center"/>
              <w:rPr>
                <w:b/>
                <w:color w:val="000000"/>
                <w:sz w:val="24"/>
                <w:lang w:eastAsia="zh-TW"/>
              </w:rPr>
            </w:pPr>
            <w:r>
              <w:rPr>
                <w:rFonts w:hint="eastAsia"/>
                <w:b/>
                <w:color w:val="000000"/>
                <w:sz w:val="24"/>
                <w:lang w:eastAsia="zh-TW"/>
              </w:rPr>
              <w:t>比例（</w:t>
            </w:r>
            <w:r>
              <w:rPr>
                <w:b/>
                <w:color w:val="000000"/>
                <w:sz w:val="24"/>
                <w:lang w:eastAsia="zh-TW"/>
              </w:rPr>
              <w:t>%</w:t>
            </w:r>
            <w:r>
              <w:rPr>
                <w:rFonts w:hint="eastAsia"/>
                <w:b/>
                <w:color w:val="000000"/>
                <w:sz w:val="24"/>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Align w:val="center"/>
          </w:tcPr>
          <w:p>
            <w:pPr>
              <w:spacing w:beforeLines="0" w:afterLines="0" w:line="260" w:lineRule="exact"/>
              <w:jc w:val="center"/>
              <w:rPr>
                <w:color w:val="000000"/>
                <w:sz w:val="24"/>
              </w:rPr>
            </w:pPr>
            <w:r>
              <w:rPr>
                <w:color w:val="000000"/>
                <w:sz w:val="24"/>
                <w:lang w:eastAsia="zh-TW"/>
              </w:rPr>
              <w:t>A</w:t>
            </w:r>
            <w:r>
              <w:rPr>
                <w:rFonts w:hint="eastAsia"/>
                <w:color w:val="000000"/>
                <w:sz w:val="24"/>
                <w:lang w:eastAsia="zh-TW"/>
              </w:rPr>
              <w:t>股</w:t>
            </w:r>
          </w:p>
        </w:tc>
        <w:tc>
          <w:tcPr>
            <w:tcW w:w="1954" w:type="dxa"/>
            <w:vAlign w:val="top"/>
          </w:tcPr>
          <w:sdt>
            <w:sdtPr>
              <w:rPr>
                <w:rFonts w:ascii="Times New Roman" w:hAnsi="Times New Roman"/>
                <w:color w:val="000000"/>
                <w:sz w:val="24"/>
                <w:lang w:eastAsia="zh-TW"/>
              </w:rPr>
              <w:alias w:val="非累积投票议案表决情况_A股同意票数"/>
              <w:tag w:val="_GBC_d13cb7c3b10e4b89bd272020d5dfc3c5"/>
              <w:id w:val="335"/>
              <w:lock w:val="sdtLocked"/>
              <w:text/>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4,142,654,725</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162" w:type="dxa"/>
            <w:vAlign w:val="top"/>
          </w:tcPr>
          <w:sdt>
            <w:sdtPr>
              <w:rPr>
                <w:rFonts w:ascii="Times New Roman" w:hAnsi="Times New Roman"/>
                <w:color w:val="000000"/>
                <w:sz w:val="24"/>
                <w:lang w:eastAsia="zh-TW"/>
              </w:rPr>
              <w:alias w:val="非累积投票议案表决情况_A股同意比例"/>
              <w:tag w:val="_GBC_baa01c35de4c4da5999507b346370a05"/>
              <w:id w:val="336"/>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99.9784</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691" w:type="dxa"/>
            <w:vAlign w:val="top"/>
          </w:tcPr>
          <w:sdt>
            <w:sdtPr>
              <w:rPr>
                <w:rFonts w:ascii="Times New Roman" w:hAnsi="Times New Roman"/>
                <w:color w:val="000000"/>
                <w:sz w:val="24"/>
                <w:lang w:eastAsia="zh-TW"/>
              </w:rPr>
              <w:alias w:val="非累积投票议案表决情况_A股反对票数"/>
              <w:tag w:val="_GBC_aeddc7b9df07427a8287a3319656953b"/>
              <w:id w:val="337"/>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893,383</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162" w:type="dxa"/>
            <w:vAlign w:val="top"/>
          </w:tcPr>
          <w:sdt>
            <w:sdtPr>
              <w:rPr>
                <w:rFonts w:ascii="Times New Roman" w:hAnsi="Times New Roman"/>
                <w:color w:val="000000"/>
                <w:sz w:val="24"/>
                <w:lang w:eastAsia="zh-TW"/>
              </w:rPr>
              <w:alias w:val="非累积投票议案表决情况_A股反对比例"/>
              <w:tag w:val="_GBC_2fbfff06037f464baa9501f7aaaeeca4"/>
              <w:id w:val="338"/>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0.0215</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096" w:type="dxa"/>
            <w:vAlign w:val="top"/>
          </w:tcPr>
          <w:sdt>
            <w:sdtPr>
              <w:rPr>
                <w:rFonts w:ascii="Times New Roman" w:hAnsi="Times New Roman"/>
                <w:color w:val="000000"/>
                <w:sz w:val="24"/>
                <w:lang w:eastAsia="zh-TW"/>
              </w:rPr>
              <w:alias w:val="非累积投票议案表决情况_A股弃权票数"/>
              <w:tag w:val="_GBC_311dad2ae32a4a41b5f70fe48cb445b5"/>
              <w:id w:val="339"/>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200</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031" w:type="dxa"/>
            <w:vAlign w:val="top"/>
          </w:tcPr>
          <w:sdt>
            <w:sdtPr>
              <w:rPr>
                <w:rFonts w:ascii="Times New Roman" w:hAnsi="Times New Roman"/>
                <w:color w:val="000000"/>
                <w:sz w:val="24"/>
                <w:lang w:eastAsia="zh-TW"/>
              </w:rPr>
              <w:alias w:val="非累积投票议案表决情况_A股弃权比例"/>
              <w:tag w:val="_GBC_3723b88f133b472497fbb1e22ce723a0"/>
              <w:id w:val="340"/>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0.0001</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Align w:val="center"/>
          </w:tcPr>
          <w:p>
            <w:pPr>
              <w:spacing w:beforeLines="0" w:afterLines="0" w:line="260" w:lineRule="exact"/>
              <w:jc w:val="center"/>
              <w:rPr>
                <w:color w:val="000000"/>
                <w:sz w:val="24"/>
              </w:rPr>
            </w:pPr>
            <w:r>
              <w:rPr>
                <w:color w:val="000000"/>
                <w:sz w:val="24"/>
                <w:lang w:eastAsia="zh-TW"/>
              </w:rPr>
              <w:t>H</w:t>
            </w:r>
            <w:r>
              <w:rPr>
                <w:rFonts w:hint="eastAsia"/>
                <w:color w:val="000000"/>
                <w:sz w:val="24"/>
                <w:lang w:eastAsia="zh-TW"/>
              </w:rPr>
              <w:t>股</w:t>
            </w:r>
          </w:p>
        </w:tc>
        <w:tc>
          <w:tcPr>
            <w:tcW w:w="1954" w:type="dxa"/>
            <w:vAlign w:val="top"/>
          </w:tcPr>
          <w:sdt>
            <w:sdtPr>
              <w:rPr>
                <w:rFonts w:ascii="Times New Roman" w:hAnsi="Times New Roman"/>
                <w:color w:val="000000"/>
                <w:sz w:val="24"/>
                <w:lang w:eastAsia="zh-TW"/>
              </w:rPr>
              <w:alias w:val="非累积投票议案表决情况_H股同意票数"/>
              <w:tag w:val="_GBC_2fcdc641df2f4a3493d9b11d2f2307f3"/>
              <w:id w:val="342"/>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1,126,474,360</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162" w:type="dxa"/>
            <w:vAlign w:val="top"/>
          </w:tcPr>
          <w:sdt>
            <w:sdtPr>
              <w:rPr>
                <w:rFonts w:ascii="Times New Roman" w:hAnsi="Times New Roman"/>
                <w:color w:val="000000"/>
                <w:sz w:val="24"/>
                <w:lang w:eastAsia="zh-TW"/>
              </w:rPr>
              <w:alias w:val="非累积投票议案表决情况_H股同意比例"/>
              <w:tag w:val="_GBC_e280d12c1f1e450796e41e92c503742b"/>
              <w:id w:val="343"/>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97.1858</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691" w:type="dxa"/>
            <w:vAlign w:val="top"/>
          </w:tcPr>
          <w:sdt>
            <w:sdtPr>
              <w:rPr>
                <w:rFonts w:ascii="Times New Roman" w:hAnsi="Times New Roman"/>
                <w:color w:val="000000"/>
                <w:sz w:val="24"/>
                <w:lang w:eastAsia="zh-TW"/>
              </w:rPr>
              <w:alias w:val="非累积投票议案表决情况_H股反对票数"/>
              <w:tag w:val="_GBC_0b28c434ce00483d9fcff1cfa9c4245b"/>
              <w:id w:val="344"/>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32,619,390</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162" w:type="dxa"/>
            <w:vAlign w:val="top"/>
          </w:tcPr>
          <w:sdt>
            <w:sdtPr>
              <w:rPr>
                <w:rFonts w:ascii="Times New Roman" w:hAnsi="Times New Roman"/>
                <w:color w:val="000000"/>
                <w:sz w:val="24"/>
                <w:lang w:eastAsia="zh-TW"/>
              </w:rPr>
              <w:alias w:val="非累积投票议案表决情况_H股反对比例"/>
              <w:tag w:val="_GBC_8b1264b7ed9442dbb6ea0e24dce7254c"/>
              <w:id w:val="345"/>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2.8142</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096" w:type="dxa"/>
            <w:vAlign w:val="top"/>
          </w:tcPr>
          <w:sdt>
            <w:sdtPr>
              <w:rPr>
                <w:rFonts w:ascii="Times New Roman" w:hAnsi="Times New Roman"/>
                <w:color w:val="000000"/>
                <w:sz w:val="24"/>
                <w:lang w:eastAsia="zh-TW"/>
              </w:rPr>
              <w:alias w:val="非累积投票议案表决情况_H股弃权票数"/>
              <w:tag w:val="_GBC_5f45e2f25218467cbecd1889565847da"/>
              <w:id w:val="346"/>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0</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031" w:type="dxa"/>
            <w:vAlign w:val="top"/>
          </w:tcPr>
          <w:sdt>
            <w:sdtPr>
              <w:rPr>
                <w:rFonts w:ascii="Times New Roman" w:hAnsi="Times New Roman"/>
                <w:color w:val="000000"/>
                <w:sz w:val="24"/>
                <w:lang w:eastAsia="zh-TW"/>
              </w:rPr>
              <w:alias w:val="非累积投票议案表决情况_H股弃权比例"/>
              <w:tag w:val="_GBC_2b65125a94bd437db30fc93abf097c6c"/>
              <w:id w:val="347"/>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0.0000</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Align w:val="center"/>
          </w:tcPr>
          <w:p>
            <w:pPr>
              <w:spacing w:beforeLines="0" w:afterLines="0" w:line="260" w:lineRule="exact"/>
              <w:jc w:val="center"/>
              <w:rPr>
                <w:color w:val="000000"/>
                <w:sz w:val="24"/>
              </w:rPr>
            </w:pPr>
            <w:r>
              <w:rPr>
                <w:rFonts w:hint="eastAsia"/>
                <w:color w:val="000000"/>
                <w:sz w:val="24"/>
                <w:lang w:eastAsia="zh-TW"/>
              </w:rPr>
              <w:t>普通股合計</w:t>
            </w:r>
          </w:p>
        </w:tc>
        <w:tc>
          <w:tcPr>
            <w:tcW w:w="1954" w:type="dxa"/>
            <w:vAlign w:val="top"/>
          </w:tcPr>
          <w:sdt>
            <w:sdtPr>
              <w:rPr>
                <w:rFonts w:ascii="Times New Roman" w:hAnsi="Times New Roman"/>
                <w:color w:val="000000"/>
                <w:sz w:val="24"/>
                <w:lang w:eastAsia="zh-TW"/>
              </w:rPr>
              <w:alias w:val="非累积投票议案表决情况_除优先股外的其他股份小计同意票数"/>
              <w:tag w:val="_GBC_040e2c03527143b38b3e2a4351397acf"/>
              <w:id w:val="349"/>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5,269,129,085</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162" w:type="dxa"/>
            <w:vAlign w:val="top"/>
          </w:tcPr>
          <w:sdt>
            <w:sdtPr>
              <w:rPr>
                <w:rFonts w:ascii="Times New Roman" w:hAnsi="Times New Roman"/>
                <w:color w:val="000000"/>
                <w:sz w:val="24"/>
                <w:lang w:eastAsia="zh-TW"/>
              </w:rPr>
              <w:alias w:val="非累积投票议案表决情况_除优先股外的其他股份小计同意比例"/>
              <w:tag w:val="_GBC_1e37e74a476948e8829a99acbb83122e"/>
              <w:id w:val="350"/>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99.3680</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691" w:type="dxa"/>
            <w:vAlign w:val="top"/>
          </w:tcPr>
          <w:sdt>
            <w:sdtPr>
              <w:rPr>
                <w:rFonts w:ascii="Times New Roman" w:hAnsi="Times New Roman"/>
                <w:color w:val="000000"/>
                <w:sz w:val="24"/>
                <w:lang w:eastAsia="zh-TW"/>
              </w:rPr>
              <w:alias w:val="非累积投票议案表决情况_除优先股外的其他股份小计反对票数"/>
              <w:tag w:val="_GBC_7dc8df05f05c489988107f3c3b268324"/>
              <w:id w:val="351"/>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33,512,773</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162" w:type="dxa"/>
            <w:vAlign w:val="top"/>
          </w:tcPr>
          <w:sdt>
            <w:sdtPr>
              <w:rPr>
                <w:rFonts w:ascii="Times New Roman" w:hAnsi="Times New Roman"/>
                <w:color w:val="000000"/>
                <w:sz w:val="24"/>
                <w:lang w:eastAsia="zh-TW"/>
              </w:rPr>
              <w:alias w:val="非累积投票议案表决情况_除优先股外的其他股份小计反对比例"/>
              <w:tag w:val="_GBC_4163dd37a2e34d40aa914b4a6912ab58"/>
              <w:id w:val="352"/>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0.6320</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096" w:type="dxa"/>
            <w:vAlign w:val="top"/>
          </w:tcPr>
          <w:sdt>
            <w:sdtPr>
              <w:rPr>
                <w:rFonts w:ascii="Times New Roman" w:hAnsi="Times New Roman"/>
                <w:color w:val="000000"/>
                <w:sz w:val="24"/>
                <w:lang w:eastAsia="zh-TW"/>
              </w:rPr>
              <w:alias w:val="非累积投票议案表决情况_除优先股外的其他股份小计弃权票数"/>
              <w:tag w:val="_GBC_4fc802fc2eb64b0d922e60109ed550dd"/>
              <w:id w:val="353"/>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200</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c>
          <w:tcPr>
            <w:tcW w:w="1031" w:type="dxa"/>
            <w:vAlign w:val="top"/>
          </w:tcPr>
          <w:sdt>
            <w:sdtPr>
              <w:rPr>
                <w:rFonts w:ascii="Times New Roman" w:hAnsi="Times New Roman"/>
                <w:color w:val="000000"/>
                <w:sz w:val="24"/>
                <w:lang w:eastAsia="zh-TW"/>
              </w:rPr>
              <w:alias w:val="非累积投票议案表决情况_除优先股外的其他股份小计弃权比例"/>
              <w:tag w:val="_GBC_78fe092302bc40caaf0ef7fd4111a7ba"/>
              <w:id w:val="354"/>
              <w:lock w:val="sdtLocked"/>
            </w:sdtPr>
            <w:sdtEndPr>
              <w:rPr>
                <w:rFonts w:ascii="Times New Roman" w:hAnsi="Times New Roman"/>
                <w:color w:val="000000"/>
                <w:sz w:val="24"/>
                <w:lang w:eastAsia="zh-TW"/>
              </w:rPr>
            </w:sdtEndPr>
            <w:sdtContent>
              <w:p>
                <w:pPr>
                  <w:widowControl/>
                  <w:spacing w:beforeLines="0" w:afterLines="0" w:line="260" w:lineRule="exact"/>
                  <w:jc w:val="center"/>
                  <w:textAlignment w:val="auto"/>
                  <w:rPr>
                    <w:rFonts w:ascii="Times New Roman" w:hAnsi="Times New Roman"/>
                    <w:color w:val="000000"/>
                    <w:sz w:val="24"/>
                    <w:lang w:eastAsia="zh-TW"/>
                  </w:rPr>
                </w:pPr>
                <w:r>
                  <w:rPr>
                    <w:rFonts w:ascii="Times New Roman" w:hAnsi="Times New Roman"/>
                    <w:color w:val="000000"/>
                    <w:sz w:val="24"/>
                    <w:lang w:eastAsia="zh-TW"/>
                  </w:rPr>
                  <w:t>0.0000</w:t>
                </w:r>
              </w:p>
            </w:sdtContent>
          </w:sdt>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ascii="Times New Roman" w:hAnsi="Times New Roman"/>
                <w:color w:val="000000"/>
                <w:sz w:val="24"/>
                <w:lang w:eastAsia="zh-TW"/>
              </w:rPr>
            </w:pPr>
          </w:p>
        </w:tc>
      </w:tr>
    </w:tbl>
    <w:p>
      <w:pPr>
        <w:spacing w:before="156" w:beforeLines="50" w:after="156" w:afterLines="50" w:line="400" w:lineRule="exact"/>
        <w:rPr>
          <w:rFonts w:eastAsia="PMingLiU"/>
          <w:sz w:val="24"/>
          <w:lang w:eastAsia="zh-TW"/>
        </w:rPr>
      </w:pPr>
      <w:r>
        <w:rPr>
          <w:rFonts w:hint="eastAsia"/>
          <w:sz w:val="24"/>
          <w:lang w:eastAsia="zh-TW"/>
        </w:rPr>
        <w:t>由於</w:t>
      </w:r>
      <w:r>
        <w:rPr>
          <w:rFonts w:hint="eastAsia"/>
          <w:sz w:val="24"/>
        </w:rPr>
        <w:t>上述普通決議案的贊成票數超過二分之一，因此</w:t>
      </w:r>
      <w:r>
        <w:rPr>
          <w:rFonts w:hint="eastAsia"/>
          <w:sz w:val="24"/>
          <w:lang w:eastAsia="zh-TW"/>
        </w:rPr>
        <w:t>獲</w:t>
      </w:r>
      <w:r>
        <w:rPr>
          <w:rFonts w:hint="eastAsia"/>
          <w:sz w:val="24"/>
        </w:rPr>
        <w:t>臨時股東大會股東</w:t>
      </w:r>
      <w:r>
        <w:rPr>
          <w:rFonts w:hint="eastAsia"/>
          <w:sz w:val="24"/>
          <w:lang w:eastAsia="zh-TW"/>
        </w:rPr>
        <w:t>以投票</w:t>
      </w:r>
      <w:r>
        <w:rPr>
          <w:rFonts w:hint="eastAsia"/>
          <w:sz w:val="24"/>
        </w:rPr>
        <w:t>表决</w:t>
      </w:r>
      <w:r>
        <w:rPr>
          <w:rFonts w:hint="eastAsia"/>
          <w:sz w:val="24"/>
          <w:lang w:eastAsia="zh-TW"/>
        </w:rPr>
        <w:t>方式通過。</w:t>
      </w:r>
    </w:p>
    <w:p>
      <w:pPr>
        <w:rPr>
          <w:rFonts w:hint="eastAsia"/>
          <w:i/>
          <w:sz w:val="24"/>
          <w:lang w:eastAsia="zh-TW"/>
        </w:rPr>
        <w:sectPr>
          <w:footerReference r:id="rId3" w:type="default"/>
          <w:footerReference r:id="rId4" w:type="even"/>
          <w:pgSz w:w="11906" w:h="16838"/>
          <w:pgMar w:top="1191" w:right="1077" w:bottom="1021" w:left="1077" w:header="851" w:footer="737" w:gutter="0"/>
          <w:pgNumType w:fmt="numberInDash"/>
          <w:cols w:space="425" w:num="1"/>
          <w:docGrid w:type="lines" w:linePitch="312" w:charSpace="0"/>
        </w:sectPr>
      </w:pPr>
    </w:p>
    <w:p>
      <w:pPr>
        <w:rPr>
          <w:i/>
          <w:sz w:val="24"/>
        </w:rPr>
      </w:pPr>
      <w:r>
        <w:rPr>
          <w:rFonts w:hint="eastAsia"/>
          <w:i/>
          <w:sz w:val="24"/>
          <w:lang w:eastAsia="zh-TW"/>
        </w:rPr>
        <w:t>附注：</w:t>
      </w:r>
    </w:p>
    <w:p>
      <w:pPr>
        <w:rPr>
          <w:sz w:val="24"/>
        </w:rPr>
      </w:pPr>
    </w:p>
    <w:p>
      <w:pPr>
        <w:numPr>
          <w:ilvl w:val="0"/>
          <w:numId w:val="1"/>
        </w:numPr>
        <w:spacing w:after="156" w:afterLines="50" w:line="260" w:lineRule="exact"/>
        <w:rPr>
          <w:kern w:val="0"/>
          <w:sz w:val="18"/>
          <w:szCs w:val="18"/>
          <w:lang w:eastAsia="zh-TW"/>
        </w:rPr>
      </w:pPr>
      <w:r>
        <w:rPr>
          <w:rFonts w:hint="eastAsia"/>
          <w:kern w:val="0"/>
          <w:sz w:val="18"/>
          <w:szCs w:val="18"/>
        </w:rPr>
        <w:t>臨時股東大會</w:t>
      </w:r>
      <w:r>
        <w:rPr>
          <w:rFonts w:hint="eastAsia"/>
          <w:kern w:val="0"/>
          <w:sz w:val="18"/>
          <w:szCs w:val="18"/>
          <w:lang w:eastAsia="zh-TW"/>
        </w:rPr>
        <w:t>採用現場投票及網絡投票相結合的方式。網絡投票由A股股東通過上海證券交易所交易系統參與。</w:t>
      </w:r>
      <w:r>
        <w:rPr>
          <w:rFonts w:hint="eastAsia"/>
          <w:kern w:val="0"/>
          <w:sz w:val="18"/>
          <w:szCs w:val="18"/>
        </w:rPr>
        <w:t>臨時股東大會</w:t>
      </w:r>
      <w:r>
        <w:rPr>
          <w:rFonts w:hint="eastAsia"/>
          <w:kern w:val="0"/>
          <w:sz w:val="18"/>
          <w:szCs w:val="18"/>
          <w:lang w:eastAsia="zh-TW"/>
        </w:rPr>
        <w:t>由本公司</w:t>
      </w:r>
      <w:r>
        <w:rPr>
          <w:rFonts w:hint="eastAsia"/>
          <w:kern w:val="0"/>
          <w:sz w:val="18"/>
          <w:szCs w:val="18"/>
        </w:rPr>
        <w:t>副</w:t>
      </w:r>
      <w:r>
        <w:rPr>
          <w:rFonts w:hint="eastAsia"/>
          <w:kern w:val="0"/>
          <w:sz w:val="18"/>
          <w:szCs w:val="18"/>
          <w:lang w:eastAsia="zh-TW"/>
        </w:rPr>
        <w:t>董事長</w:t>
      </w:r>
      <w:r>
        <w:rPr>
          <w:rFonts w:hint="eastAsia"/>
          <w:kern w:val="0"/>
          <w:sz w:val="18"/>
          <w:szCs w:val="18"/>
        </w:rPr>
        <w:t>宋德星</w:t>
      </w:r>
      <w:r>
        <w:rPr>
          <w:rFonts w:hint="eastAsia"/>
          <w:kern w:val="0"/>
          <w:sz w:val="18"/>
          <w:szCs w:val="18"/>
          <w:lang w:eastAsia="zh-TW"/>
        </w:rPr>
        <w:t>先生主持。</w:t>
      </w:r>
    </w:p>
    <w:p>
      <w:pPr>
        <w:numPr>
          <w:ilvl w:val="0"/>
          <w:numId w:val="1"/>
        </w:numPr>
        <w:spacing w:after="157"/>
        <w:rPr>
          <w:kern w:val="0"/>
          <w:sz w:val="18"/>
          <w:szCs w:val="18"/>
        </w:rPr>
      </w:pPr>
      <w:r>
        <w:rPr>
          <w:rFonts w:hint="eastAsia"/>
          <w:kern w:val="0"/>
          <w:sz w:val="18"/>
          <w:szCs w:val="18"/>
        </w:rPr>
        <w:t>於臨時股東大會召開日期，本公司已發行股份總數為</w:t>
      </w:r>
      <w:r>
        <w:rPr>
          <w:kern w:val="0"/>
          <w:sz w:val="18"/>
          <w:szCs w:val="18"/>
        </w:rPr>
        <w:t>7,400,803,875</w:t>
      </w:r>
      <w:r>
        <w:rPr>
          <w:rFonts w:hint="eastAsia"/>
          <w:kern w:val="0"/>
          <w:sz w:val="18"/>
          <w:szCs w:val="18"/>
        </w:rPr>
        <w:t>股，包括</w:t>
      </w:r>
      <w:r>
        <w:rPr>
          <w:kern w:val="0"/>
          <w:sz w:val="18"/>
          <w:szCs w:val="18"/>
        </w:rPr>
        <w:t>5,255,916,875</w:t>
      </w:r>
      <w:r>
        <w:rPr>
          <w:rFonts w:hint="eastAsia"/>
          <w:kern w:val="0"/>
          <w:sz w:val="18"/>
          <w:szCs w:val="18"/>
        </w:rPr>
        <w:t>股</w:t>
      </w:r>
      <w:r>
        <w:rPr>
          <w:kern w:val="0"/>
          <w:sz w:val="18"/>
          <w:szCs w:val="18"/>
        </w:rPr>
        <w:t>A</w:t>
      </w:r>
      <w:r>
        <w:rPr>
          <w:rFonts w:hint="eastAsia"/>
          <w:kern w:val="0"/>
          <w:sz w:val="18"/>
          <w:szCs w:val="18"/>
        </w:rPr>
        <w:t>股和</w:t>
      </w:r>
      <w:r>
        <w:rPr>
          <w:kern w:val="0"/>
          <w:sz w:val="18"/>
          <w:szCs w:val="18"/>
        </w:rPr>
        <w:t>2,144,887,000</w:t>
      </w:r>
      <w:r>
        <w:rPr>
          <w:rFonts w:hint="eastAsia"/>
          <w:kern w:val="0"/>
          <w:sz w:val="18"/>
          <w:szCs w:val="18"/>
        </w:rPr>
        <w:t>股</w:t>
      </w:r>
      <w:r>
        <w:rPr>
          <w:kern w:val="0"/>
          <w:sz w:val="18"/>
          <w:szCs w:val="18"/>
        </w:rPr>
        <w:t>H</w:t>
      </w:r>
      <w:r>
        <w:rPr>
          <w:rFonts w:hint="eastAsia"/>
          <w:kern w:val="0"/>
          <w:sz w:val="18"/>
          <w:szCs w:val="18"/>
        </w:rPr>
        <w:t>股。概無本公司股東（</w:t>
      </w:r>
      <w:r>
        <w:rPr>
          <w:kern w:val="0"/>
          <w:sz w:val="18"/>
          <w:szCs w:val="18"/>
        </w:rPr>
        <w:t>i</w:t>
      </w:r>
      <w:r>
        <w:rPr>
          <w:rFonts w:hint="eastAsia"/>
          <w:kern w:val="0"/>
          <w:sz w:val="18"/>
          <w:szCs w:val="18"/>
        </w:rPr>
        <w:t>）根據上市規則要求，須於臨時股東大會上就任何決議案放棄投票；及（</w:t>
      </w:r>
      <w:r>
        <w:rPr>
          <w:kern w:val="0"/>
          <w:sz w:val="18"/>
          <w:szCs w:val="18"/>
        </w:rPr>
        <w:t>ii</w:t>
      </w:r>
      <w:r>
        <w:rPr>
          <w:rFonts w:hint="eastAsia"/>
          <w:kern w:val="0"/>
          <w:sz w:val="18"/>
          <w:szCs w:val="18"/>
        </w:rPr>
        <w:t>）於該通函內表示，有意於臨時股東大會上就任何決議案投票反對或放棄投票。考慮到本公司于臨時股東大會召開日期之前已回購45,552,800股</w:t>
      </w:r>
      <w:r>
        <w:rPr>
          <w:kern w:val="0"/>
          <w:sz w:val="18"/>
          <w:szCs w:val="18"/>
        </w:rPr>
        <w:t>A</w:t>
      </w:r>
      <w:r>
        <w:rPr>
          <w:rFonts w:hint="eastAsia"/>
          <w:kern w:val="0"/>
          <w:sz w:val="18"/>
          <w:szCs w:val="18"/>
        </w:rPr>
        <w:t>股及35,659,000股H股，該等已回購股票不享有投票權，因此有權出席並就臨時股東大會建議之決議案投票的股東持股總數為</w:t>
      </w:r>
      <w:r>
        <w:rPr>
          <w:kern w:val="0"/>
          <w:sz w:val="18"/>
          <w:szCs w:val="18"/>
        </w:rPr>
        <w:t>7,3</w:t>
      </w:r>
      <w:r>
        <w:rPr>
          <w:rFonts w:hint="eastAsia"/>
          <w:kern w:val="0"/>
          <w:sz w:val="18"/>
          <w:szCs w:val="18"/>
        </w:rPr>
        <w:t>1</w:t>
      </w:r>
      <w:r>
        <w:rPr>
          <w:kern w:val="0"/>
          <w:sz w:val="18"/>
          <w:szCs w:val="18"/>
        </w:rPr>
        <w:t>9,</w:t>
      </w:r>
      <w:r>
        <w:rPr>
          <w:rFonts w:hint="eastAsia"/>
          <w:kern w:val="0"/>
          <w:sz w:val="18"/>
          <w:szCs w:val="18"/>
        </w:rPr>
        <w:t>592</w:t>
      </w:r>
      <w:r>
        <w:rPr>
          <w:kern w:val="0"/>
          <w:sz w:val="18"/>
          <w:szCs w:val="18"/>
        </w:rPr>
        <w:t>,</w:t>
      </w:r>
      <w:r>
        <w:rPr>
          <w:rFonts w:hint="eastAsia"/>
          <w:kern w:val="0"/>
          <w:sz w:val="18"/>
          <w:szCs w:val="18"/>
        </w:rPr>
        <w:t>0</w:t>
      </w:r>
      <w:r>
        <w:rPr>
          <w:kern w:val="0"/>
          <w:sz w:val="18"/>
          <w:szCs w:val="18"/>
        </w:rPr>
        <w:t>75</w:t>
      </w:r>
      <w:r>
        <w:rPr>
          <w:rFonts w:hint="eastAsia"/>
          <w:kern w:val="0"/>
          <w:sz w:val="18"/>
          <w:szCs w:val="18"/>
        </w:rPr>
        <w:t>股（包括</w:t>
      </w:r>
      <w:r>
        <w:rPr>
          <w:kern w:val="0"/>
          <w:sz w:val="18"/>
          <w:szCs w:val="18"/>
        </w:rPr>
        <w:t>5,2</w:t>
      </w:r>
      <w:r>
        <w:rPr>
          <w:rFonts w:hint="eastAsia"/>
          <w:kern w:val="0"/>
          <w:sz w:val="18"/>
          <w:szCs w:val="18"/>
        </w:rPr>
        <w:t>10</w:t>
      </w:r>
      <w:r>
        <w:rPr>
          <w:kern w:val="0"/>
          <w:sz w:val="18"/>
          <w:szCs w:val="18"/>
        </w:rPr>
        <w:t>,</w:t>
      </w:r>
      <w:r>
        <w:rPr>
          <w:rFonts w:hint="eastAsia"/>
          <w:kern w:val="0"/>
          <w:sz w:val="18"/>
          <w:szCs w:val="18"/>
        </w:rPr>
        <w:t>3</w:t>
      </w:r>
      <w:r>
        <w:rPr>
          <w:kern w:val="0"/>
          <w:sz w:val="18"/>
          <w:szCs w:val="18"/>
        </w:rPr>
        <w:t>64,</w:t>
      </w:r>
      <w:r>
        <w:rPr>
          <w:rFonts w:hint="eastAsia"/>
          <w:kern w:val="0"/>
          <w:sz w:val="18"/>
          <w:szCs w:val="18"/>
        </w:rPr>
        <w:t>0</w:t>
      </w:r>
      <w:r>
        <w:rPr>
          <w:kern w:val="0"/>
          <w:sz w:val="18"/>
          <w:szCs w:val="18"/>
        </w:rPr>
        <w:t>75</w:t>
      </w:r>
      <w:r>
        <w:rPr>
          <w:rFonts w:hint="eastAsia"/>
          <w:kern w:val="0"/>
          <w:sz w:val="18"/>
          <w:szCs w:val="18"/>
        </w:rPr>
        <w:t>股</w:t>
      </w:r>
      <w:r>
        <w:rPr>
          <w:kern w:val="0"/>
          <w:sz w:val="18"/>
          <w:szCs w:val="18"/>
        </w:rPr>
        <w:t>A</w:t>
      </w:r>
      <w:r>
        <w:rPr>
          <w:rFonts w:hint="eastAsia"/>
          <w:kern w:val="0"/>
          <w:sz w:val="18"/>
          <w:szCs w:val="18"/>
        </w:rPr>
        <w:t>股和</w:t>
      </w:r>
      <w:r>
        <w:rPr>
          <w:kern w:val="0"/>
          <w:sz w:val="18"/>
          <w:szCs w:val="18"/>
        </w:rPr>
        <w:t>2,1</w:t>
      </w:r>
      <w:r>
        <w:rPr>
          <w:rFonts w:hint="eastAsia"/>
          <w:kern w:val="0"/>
          <w:sz w:val="18"/>
          <w:szCs w:val="18"/>
        </w:rPr>
        <w:t>09</w:t>
      </w:r>
      <w:r>
        <w:rPr>
          <w:rFonts w:hint="eastAsia"/>
          <w:kern w:val="0"/>
          <w:sz w:val="18"/>
          <w:szCs w:val="18"/>
          <w:lang w:val="en-US" w:eastAsia="zh-CN"/>
        </w:rPr>
        <w:t>,</w:t>
      </w:r>
      <w:r>
        <w:rPr>
          <w:rFonts w:hint="eastAsia"/>
          <w:kern w:val="0"/>
          <w:sz w:val="18"/>
          <w:szCs w:val="18"/>
        </w:rPr>
        <w:t>22</w:t>
      </w:r>
      <w:r>
        <w:rPr>
          <w:kern w:val="0"/>
          <w:sz w:val="18"/>
          <w:szCs w:val="18"/>
        </w:rPr>
        <w:t>8,000</w:t>
      </w:r>
      <w:r>
        <w:rPr>
          <w:rFonts w:hint="eastAsia"/>
          <w:kern w:val="0"/>
          <w:sz w:val="18"/>
          <w:szCs w:val="18"/>
        </w:rPr>
        <w:t>股</w:t>
      </w:r>
      <w:r>
        <w:rPr>
          <w:kern w:val="0"/>
          <w:sz w:val="18"/>
          <w:szCs w:val="18"/>
        </w:rPr>
        <w:t>H</w:t>
      </w:r>
      <w:r>
        <w:rPr>
          <w:rFonts w:hint="eastAsia"/>
          <w:kern w:val="0"/>
          <w:sz w:val="18"/>
          <w:szCs w:val="18"/>
        </w:rPr>
        <w:t>股）。</w:t>
      </w:r>
      <w:bookmarkStart w:id="0" w:name="_GoBack"/>
      <w:bookmarkEnd w:id="0"/>
    </w:p>
    <w:p>
      <w:pPr>
        <w:numPr>
          <w:ilvl w:val="0"/>
          <w:numId w:val="1"/>
        </w:numPr>
        <w:spacing w:after="156" w:afterLines="50" w:line="260" w:lineRule="exact"/>
        <w:rPr>
          <w:kern w:val="0"/>
          <w:sz w:val="18"/>
          <w:szCs w:val="18"/>
        </w:rPr>
      </w:pPr>
      <w:r>
        <w:rPr>
          <w:rFonts w:hint="eastAsia"/>
          <w:kern w:val="0"/>
          <w:sz w:val="18"/>
          <w:szCs w:val="18"/>
        </w:rPr>
        <w:t>臨時股東大會出席情況：</w:t>
      </w:r>
    </w:p>
    <w:tbl>
      <w:tblPr>
        <w:tblStyle w:val="10"/>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8"/>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right"/>
        </w:trPr>
        <w:tc>
          <w:tcPr>
            <w:tcW w:w="7478" w:type="dxa"/>
            <w:vAlign w:val="center"/>
          </w:tcPr>
          <w:p>
            <w:pPr>
              <w:pStyle w:val="23"/>
              <w:numPr>
                <w:ilvl w:val="255"/>
                <w:numId w:val="0"/>
              </w:numPr>
              <w:spacing w:line="200" w:lineRule="exact"/>
              <w:rPr>
                <w:b/>
                <w:bCs/>
                <w:kern w:val="0"/>
                <w:sz w:val="18"/>
                <w:szCs w:val="18"/>
              </w:rPr>
            </w:pPr>
            <w:r>
              <w:rPr>
                <w:rFonts w:hint="eastAsia"/>
                <w:b/>
                <w:bCs/>
                <w:kern w:val="0"/>
                <w:sz w:val="18"/>
                <w:szCs w:val="18"/>
              </w:rPr>
              <w:t>1.  出席臨時股東大會的股東和股東授權代理人人數（人）</w:t>
            </w:r>
          </w:p>
        </w:tc>
        <w:tc>
          <w:tcPr>
            <w:tcW w:w="1792" w:type="dxa"/>
            <w:vAlign w:val="bottom"/>
          </w:tcPr>
          <w:sdt>
            <w:sdtPr>
              <w:rPr>
                <w:rFonts w:hint="eastAsia" w:ascii="Times New Roman"/>
                <w:kern w:val="0"/>
                <w:sz w:val="18"/>
                <w:szCs w:val="18"/>
              </w:rPr>
              <w:alias w:val="出席会议的股东和代理人人数"/>
              <w:tag w:val="_GBC_68de955aa336470c8d7a663440bc74f5"/>
              <w:id w:val="1339034"/>
              <w:lock w:val="sdtLocked"/>
            </w:sdtPr>
            <w:sdtEndPr>
              <w:rPr>
                <w:rFonts w:hint="eastAsia" w:ascii="Times New Roman"/>
                <w:kern w:val="0"/>
                <w:sz w:val="18"/>
                <w:szCs w:val="18"/>
              </w:rPr>
            </w:sdtEndPr>
            <w:sdtContent>
              <w:p>
                <w:pPr>
                  <w:pStyle w:val="23"/>
                  <w:numPr>
                    <w:ilvl w:val="255"/>
                    <w:numId w:val="0"/>
                  </w:numPr>
                  <w:spacing w:line="200" w:lineRule="exact"/>
                  <w:jc w:val="right"/>
                  <w:rPr>
                    <w:rFonts w:hint="eastAsia" w:ascii="Times New Roman"/>
                    <w:kern w:val="0"/>
                    <w:sz w:val="18"/>
                    <w:szCs w:val="18"/>
                  </w:rPr>
                </w:pPr>
                <w:r>
                  <w:rPr>
                    <w:rFonts w:hint="eastAsia" w:ascii="Times New Roman"/>
                    <w:kern w:val="0"/>
                    <w:sz w:val="18"/>
                    <w:szCs w:val="18"/>
                  </w:rPr>
                  <w:t>21</w:t>
                </w:r>
              </w:p>
            </w:sdtContent>
          </w:sdt>
          <w:p>
            <w:pPr>
              <w:pStyle w:val="23"/>
              <w:numPr>
                <w:ilvl w:val="255"/>
                <w:numId w:val="0"/>
              </w:numPr>
              <w:spacing w:line="200" w:lineRule="exact"/>
              <w:rPr>
                <w:rFonts w:hint="eastAsia" w:ascii="Times New Roman"/>
                <w:kern w:val="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right"/>
        </w:trPr>
        <w:tc>
          <w:tcPr>
            <w:tcW w:w="7478" w:type="dxa"/>
            <w:vAlign w:val="center"/>
          </w:tcPr>
          <w:p>
            <w:pPr>
              <w:pStyle w:val="23"/>
              <w:numPr>
                <w:ilvl w:val="255"/>
                <w:numId w:val="0"/>
              </w:numPr>
              <w:spacing w:line="200" w:lineRule="exact"/>
              <w:rPr>
                <w:kern w:val="0"/>
                <w:sz w:val="18"/>
                <w:szCs w:val="18"/>
              </w:rPr>
            </w:pPr>
            <w:r>
              <w:rPr>
                <w:rFonts w:hint="eastAsia"/>
                <w:kern w:val="0"/>
                <w:sz w:val="18"/>
                <w:szCs w:val="18"/>
              </w:rPr>
              <w:t>其中：A股股東</w:t>
            </w:r>
          </w:p>
        </w:tc>
        <w:tc>
          <w:tcPr>
            <w:tcW w:w="1792" w:type="dxa"/>
            <w:vAlign w:val="bottom"/>
          </w:tcPr>
          <w:sdt>
            <w:sdtPr>
              <w:rPr>
                <w:rFonts w:hint="eastAsia" w:ascii="Times New Roman"/>
                <w:kern w:val="0"/>
                <w:sz w:val="18"/>
                <w:szCs w:val="18"/>
              </w:rPr>
              <w:alias w:val="出席会议A股股东人数"/>
              <w:tag w:val="_GBC_2e1569c5c697415bb46f56c88c0f9345"/>
              <w:id w:val="1339036"/>
              <w:lock w:val="sdtLocked"/>
            </w:sdtPr>
            <w:sdtEndPr>
              <w:rPr>
                <w:rFonts w:hint="eastAsia" w:ascii="Times New Roman"/>
                <w:kern w:val="0"/>
                <w:sz w:val="18"/>
                <w:szCs w:val="18"/>
              </w:rPr>
            </w:sdtEndPr>
            <w:sdtContent>
              <w:p>
                <w:pPr>
                  <w:pStyle w:val="23"/>
                  <w:numPr>
                    <w:ilvl w:val="255"/>
                    <w:numId w:val="0"/>
                  </w:numPr>
                  <w:spacing w:line="200" w:lineRule="exact"/>
                  <w:jc w:val="right"/>
                  <w:rPr>
                    <w:rFonts w:hint="eastAsia" w:ascii="Times New Roman"/>
                    <w:kern w:val="0"/>
                    <w:sz w:val="18"/>
                    <w:szCs w:val="18"/>
                  </w:rPr>
                </w:pPr>
                <w:r>
                  <w:rPr>
                    <w:rFonts w:hint="eastAsia" w:ascii="Times New Roman"/>
                    <w:kern w:val="0"/>
                    <w:sz w:val="18"/>
                    <w:szCs w:val="18"/>
                  </w:rPr>
                  <w:t>19</w:t>
                </w:r>
              </w:p>
            </w:sdtContent>
          </w:sdt>
          <w:p>
            <w:pPr>
              <w:pStyle w:val="23"/>
              <w:numPr>
                <w:ilvl w:val="255"/>
                <w:numId w:val="0"/>
              </w:numPr>
              <w:spacing w:line="200" w:lineRule="exact"/>
              <w:rPr>
                <w:rFonts w:hint="eastAsia"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right"/>
        </w:trPr>
        <w:tc>
          <w:tcPr>
            <w:tcW w:w="7478" w:type="dxa"/>
            <w:vAlign w:val="center"/>
          </w:tcPr>
          <w:p>
            <w:pPr>
              <w:pStyle w:val="23"/>
              <w:numPr>
                <w:ilvl w:val="255"/>
                <w:numId w:val="0"/>
              </w:numPr>
              <w:spacing w:line="200" w:lineRule="exact"/>
              <w:rPr>
                <w:kern w:val="0"/>
                <w:sz w:val="18"/>
                <w:szCs w:val="18"/>
              </w:rPr>
            </w:pPr>
            <w:r>
              <w:rPr>
                <w:rFonts w:hint="eastAsia"/>
                <w:kern w:val="0"/>
                <w:sz w:val="18"/>
                <w:szCs w:val="18"/>
              </w:rPr>
              <w:t xml:space="preserve">            H股股東</w:t>
            </w:r>
          </w:p>
        </w:tc>
        <w:tc>
          <w:tcPr>
            <w:tcW w:w="1792" w:type="dxa"/>
            <w:vAlign w:val="bottom"/>
          </w:tcPr>
          <w:sdt>
            <w:sdtPr>
              <w:rPr>
                <w:rFonts w:hint="eastAsia" w:ascii="Times New Roman"/>
                <w:kern w:val="0"/>
                <w:sz w:val="18"/>
                <w:szCs w:val="18"/>
              </w:rPr>
              <w:alias w:val="出席会议H股股东人数"/>
              <w:tag w:val="_GBC_a8a9b4c49b5b4e65ab0de2639a15532f"/>
              <w:id w:val="1339040"/>
              <w:lock w:val="sdtLocked"/>
            </w:sdtPr>
            <w:sdtEndPr>
              <w:rPr>
                <w:rFonts w:hint="eastAsia" w:ascii="Times New Roman"/>
                <w:kern w:val="0"/>
                <w:sz w:val="18"/>
                <w:szCs w:val="18"/>
              </w:rPr>
            </w:sdtEndPr>
            <w:sdtContent>
              <w:p>
                <w:pPr>
                  <w:pStyle w:val="23"/>
                  <w:numPr>
                    <w:ilvl w:val="255"/>
                    <w:numId w:val="0"/>
                  </w:numPr>
                  <w:spacing w:line="200" w:lineRule="exact"/>
                  <w:jc w:val="right"/>
                  <w:rPr>
                    <w:rFonts w:hint="eastAsia" w:ascii="Times New Roman"/>
                    <w:kern w:val="0"/>
                    <w:sz w:val="18"/>
                    <w:szCs w:val="18"/>
                  </w:rPr>
                </w:pPr>
                <w:r>
                  <w:rPr>
                    <w:rFonts w:hint="eastAsia" w:ascii="Times New Roman"/>
                    <w:kern w:val="0"/>
                    <w:sz w:val="18"/>
                    <w:szCs w:val="18"/>
                  </w:rPr>
                  <w:t>2</w:t>
                </w:r>
              </w:p>
            </w:sdtContent>
          </w:sdt>
          <w:p>
            <w:pPr>
              <w:pStyle w:val="23"/>
              <w:numPr>
                <w:ilvl w:val="255"/>
                <w:numId w:val="0"/>
              </w:numPr>
              <w:spacing w:line="200" w:lineRule="exact"/>
              <w:rPr>
                <w:rFonts w:hint="eastAsia"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right"/>
        </w:trPr>
        <w:tc>
          <w:tcPr>
            <w:tcW w:w="7478" w:type="dxa"/>
            <w:vAlign w:val="center"/>
          </w:tcPr>
          <w:p>
            <w:pPr>
              <w:pStyle w:val="23"/>
              <w:numPr>
                <w:ilvl w:val="255"/>
                <w:numId w:val="0"/>
              </w:numPr>
              <w:spacing w:line="200" w:lineRule="exact"/>
              <w:rPr>
                <w:b/>
                <w:bCs/>
                <w:kern w:val="0"/>
                <w:sz w:val="18"/>
                <w:szCs w:val="18"/>
              </w:rPr>
            </w:pPr>
            <w:r>
              <w:rPr>
                <w:rFonts w:hint="eastAsia"/>
                <w:b/>
                <w:bCs/>
                <w:kern w:val="0"/>
                <w:sz w:val="18"/>
                <w:szCs w:val="18"/>
              </w:rPr>
              <w:t>2. 出席臨時股東大會的股東和股東授權代理人所持有效表決權的股份總數 （股）</w:t>
            </w:r>
          </w:p>
        </w:tc>
        <w:tc>
          <w:tcPr>
            <w:tcW w:w="1792" w:type="dxa"/>
            <w:vAlign w:val="bottom"/>
          </w:tcPr>
          <w:sdt>
            <w:sdtPr>
              <w:rPr>
                <w:rFonts w:hint="eastAsia" w:ascii="Times New Roman"/>
                <w:kern w:val="0"/>
                <w:sz w:val="18"/>
                <w:szCs w:val="18"/>
              </w:rPr>
              <w:alias w:val="出席会议的股东所持有表决权的股份总数"/>
              <w:tag w:val="_GBC_a3ceaea716e74390b6d07708f7d10d25"/>
              <w:id w:val="1339044"/>
              <w:lock w:val="sdtLocked"/>
            </w:sdtPr>
            <w:sdtEndPr>
              <w:rPr>
                <w:rFonts w:hint="eastAsia" w:ascii="Times New Roman"/>
                <w:kern w:val="0"/>
                <w:sz w:val="18"/>
                <w:szCs w:val="18"/>
              </w:rPr>
            </w:sdtEndPr>
            <w:sdtContent>
              <w:p>
                <w:pPr>
                  <w:pStyle w:val="23"/>
                  <w:numPr>
                    <w:ilvl w:val="255"/>
                    <w:numId w:val="0"/>
                  </w:numPr>
                  <w:spacing w:line="200" w:lineRule="exact"/>
                  <w:jc w:val="right"/>
                  <w:rPr>
                    <w:rFonts w:hint="eastAsia" w:ascii="Times New Roman"/>
                    <w:kern w:val="0"/>
                    <w:sz w:val="18"/>
                    <w:szCs w:val="18"/>
                  </w:rPr>
                </w:pPr>
                <w:r>
                  <w:rPr>
                    <w:rFonts w:hint="eastAsia" w:ascii="Times New Roman"/>
                    <w:kern w:val="0"/>
                    <w:sz w:val="18"/>
                    <w:szCs w:val="18"/>
                  </w:rPr>
                  <w:t>5,302,642,058</w:t>
                </w:r>
              </w:p>
            </w:sdtContent>
          </w:sdt>
          <w:p>
            <w:pPr>
              <w:pStyle w:val="23"/>
              <w:numPr>
                <w:ilvl w:val="255"/>
                <w:numId w:val="0"/>
              </w:numPr>
              <w:spacing w:line="200" w:lineRule="exact"/>
              <w:rPr>
                <w:rFonts w:hint="eastAsia"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right"/>
        </w:trPr>
        <w:tc>
          <w:tcPr>
            <w:tcW w:w="7478" w:type="dxa"/>
            <w:vAlign w:val="center"/>
          </w:tcPr>
          <w:p>
            <w:pPr>
              <w:pStyle w:val="23"/>
              <w:numPr>
                <w:ilvl w:val="255"/>
                <w:numId w:val="0"/>
              </w:numPr>
              <w:spacing w:line="200" w:lineRule="exact"/>
              <w:rPr>
                <w:kern w:val="0"/>
                <w:sz w:val="18"/>
                <w:szCs w:val="18"/>
              </w:rPr>
            </w:pPr>
            <w:r>
              <w:rPr>
                <w:rFonts w:hint="eastAsia"/>
                <w:kern w:val="0"/>
                <w:sz w:val="18"/>
                <w:szCs w:val="18"/>
              </w:rPr>
              <w:t>其中：A股</w:t>
            </w:r>
          </w:p>
        </w:tc>
        <w:tc>
          <w:tcPr>
            <w:tcW w:w="1792" w:type="dxa"/>
            <w:vAlign w:val="bottom"/>
          </w:tcPr>
          <w:sdt>
            <w:sdtPr>
              <w:rPr>
                <w:rFonts w:hint="eastAsia" w:ascii="Times New Roman"/>
                <w:kern w:val="0"/>
                <w:sz w:val="18"/>
                <w:szCs w:val="18"/>
              </w:rPr>
              <w:alias w:val="出席会议的A股股东持有股份总数"/>
              <w:tag w:val="_GBC_08b3275b036b4c7582af2883d6c051d7"/>
              <w:id w:val="1339046"/>
              <w:lock w:val="sdtLocked"/>
            </w:sdtPr>
            <w:sdtEndPr>
              <w:rPr>
                <w:rFonts w:hint="eastAsia" w:ascii="Times New Roman"/>
                <w:kern w:val="0"/>
                <w:sz w:val="18"/>
                <w:szCs w:val="18"/>
              </w:rPr>
            </w:sdtEndPr>
            <w:sdtContent>
              <w:p>
                <w:pPr>
                  <w:pStyle w:val="23"/>
                  <w:numPr>
                    <w:ilvl w:val="255"/>
                    <w:numId w:val="0"/>
                  </w:numPr>
                  <w:spacing w:line="200" w:lineRule="exact"/>
                  <w:jc w:val="right"/>
                  <w:rPr>
                    <w:rFonts w:hint="eastAsia" w:ascii="Times New Roman"/>
                    <w:kern w:val="0"/>
                    <w:sz w:val="18"/>
                    <w:szCs w:val="18"/>
                  </w:rPr>
                </w:pPr>
                <w:r>
                  <w:rPr>
                    <w:rFonts w:hint="eastAsia" w:ascii="Times New Roman"/>
                    <w:kern w:val="0"/>
                    <w:sz w:val="18"/>
                    <w:szCs w:val="18"/>
                  </w:rPr>
                  <w:t>4,143,548,308</w:t>
                </w:r>
              </w:p>
            </w:sdtContent>
          </w:sdt>
          <w:p>
            <w:pPr>
              <w:pStyle w:val="23"/>
              <w:numPr>
                <w:ilvl w:val="255"/>
                <w:numId w:val="0"/>
              </w:numPr>
              <w:spacing w:line="200" w:lineRule="exact"/>
              <w:rPr>
                <w:rFonts w:hint="eastAsia"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right"/>
        </w:trPr>
        <w:tc>
          <w:tcPr>
            <w:tcW w:w="7478" w:type="dxa"/>
            <w:vAlign w:val="center"/>
          </w:tcPr>
          <w:p>
            <w:pPr>
              <w:pStyle w:val="23"/>
              <w:numPr>
                <w:ilvl w:val="255"/>
                <w:numId w:val="0"/>
              </w:numPr>
              <w:spacing w:line="200" w:lineRule="exact"/>
              <w:rPr>
                <w:kern w:val="0"/>
                <w:sz w:val="18"/>
                <w:szCs w:val="18"/>
              </w:rPr>
            </w:pPr>
            <w:r>
              <w:rPr>
                <w:rFonts w:hint="eastAsia"/>
                <w:kern w:val="0"/>
                <w:sz w:val="18"/>
                <w:szCs w:val="18"/>
              </w:rPr>
              <w:t xml:space="preserve">            H股</w:t>
            </w:r>
          </w:p>
        </w:tc>
        <w:tc>
          <w:tcPr>
            <w:tcW w:w="1792" w:type="dxa"/>
            <w:vAlign w:val="bottom"/>
          </w:tcPr>
          <w:sdt>
            <w:sdtPr>
              <w:rPr>
                <w:rFonts w:hint="eastAsia" w:ascii="Times New Roman"/>
                <w:kern w:val="0"/>
                <w:sz w:val="18"/>
                <w:szCs w:val="18"/>
              </w:rPr>
              <w:alias w:val="出席会议的H股股东持有股份总数"/>
              <w:tag w:val="_GBC_df363156d627454ca15798d7e900b834"/>
              <w:id w:val="1339050"/>
              <w:lock w:val="sdtLocked"/>
            </w:sdtPr>
            <w:sdtEndPr>
              <w:rPr>
                <w:rFonts w:hint="eastAsia" w:ascii="Times New Roman"/>
                <w:kern w:val="0"/>
                <w:sz w:val="18"/>
                <w:szCs w:val="18"/>
              </w:rPr>
            </w:sdtEndPr>
            <w:sdtContent>
              <w:p>
                <w:pPr>
                  <w:pStyle w:val="23"/>
                  <w:numPr>
                    <w:ilvl w:val="255"/>
                    <w:numId w:val="0"/>
                  </w:numPr>
                  <w:spacing w:line="200" w:lineRule="exact"/>
                  <w:jc w:val="right"/>
                  <w:rPr>
                    <w:rFonts w:hint="eastAsia" w:ascii="Times New Roman"/>
                    <w:kern w:val="0"/>
                    <w:sz w:val="18"/>
                    <w:szCs w:val="18"/>
                  </w:rPr>
                </w:pPr>
                <w:r>
                  <w:rPr>
                    <w:rFonts w:hint="eastAsia" w:ascii="Times New Roman"/>
                    <w:kern w:val="0"/>
                    <w:sz w:val="18"/>
                    <w:szCs w:val="18"/>
                  </w:rPr>
                  <w:t>1,159,093,750</w:t>
                </w:r>
              </w:p>
            </w:sdtContent>
          </w:sdt>
          <w:p>
            <w:pPr>
              <w:pStyle w:val="23"/>
              <w:numPr>
                <w:ilvl w:val="255"/>
                <w:numId w:val="0"/>
              </w:numPr>
              <w:spacing w:line="200" w:lineRule="exact"/>
              <w:rPr>
                <w:rFonts w:hint="eastAsia"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right"/>
        </w:trPr>
        <w:tc>
          <w:tcPr>
            <w:tcW w:w="7478" w:type="dxa"/>
            <w:vAlign w:val="center"/>
          </w:tcPr>
          <w:p>
            <w:pPr>
              <w:pStyle w:val="23"/>
              <w:numPr>
                <w:ilvl w:val="255"/>
                <w:numId w:val="0"/>
              </w:numPr>
              <w:spacing w:line="200" w:lineRule="exact"/>
              <w:rPr>
                <w:b/>
                <w:bCs/>
                <w:kern w:val="0"/>
                <w:sz w:val="18"/>
                <w:szCs w:val="18"/>
              </w:rPr>
            </w:pPr>
            <w:r>
              <w:rPr>
                <w:rFonts w:hint="eastAsia"/>
                <w:b/>
                <w:bCs/>
                <w:kern w:val="0"/>
                <w:sz w:val="18"/>
                <w:szCs w:val="18"/>
              </w:rPr>
              <w:t>3. 出席臨時股東大會的股東和股東授權代理人所持有效表決權的股份數佔公司有權出席股東</w:t>
            </w:r>
            <w:r>
              <w:rPr>
                <w:rFonts w:hint="eastAsia"/>
                <w:b/>
                <w:bCs/>
                <w:kern w:val="0"/>
                <w:sz w:val="18"/>
                <w:szCs w:val="18"/>
                <w:lang w:val="en-US" w:eastAsia="zh-CN"/>
              </w:rPr>
              <w:t>大</w:t>
            </w:r>
            <w:r>
              <w:rPr>
                <w:rFonts w:hint="eastAsia"/>
                <w:b/>
                <w:bCs/>
                <w:kern w:val="0"/>
                <w:sz w:val="18"/>
                <w:szCs w:val="18"/>
              </w:rPr>
              <w:t>會並表決的股份總數的比例 (%)</w:t>
            </w:r>
          </w:p>
        </w:tc>
        <w:tc>
          <w:tcPr>
            <w:tcW w:w="1792" w:type="dxa"/>
            <w:vAlign w:val="bottom"/>
          </w:tcPr>
          <w:sdt>
            <w:sdtPr>
              <w:rPr>
                <w:rFonts w:hint="eastAsia" w:ascii="Times New Roman"/>
                <w:kern w:val="0"/>
                <w:sz w:val="18"/>
                <w:szCs w:val="18"/>
              </w:rPr>
              <w:alias w:val="出席会议的股东所持有表决权股份数占公司有表决权股份总数的比例"/>
              <w:tag w:val="_GBC_020a1fcfa605460d9ce8eea920317017"/>
              <w:id w:val="3711329"/>
              <w:lock w:val="sdtLocked"/>
            </w:sdtPr>
            <w:sdtEndPr>
              <w:rPr>
                <w:rFonts w:hint="eastAsia" w:ascii="Times New Roman"/>
                <w:kern w:val="0"/>
                <w:sz w:val="18"/>
                <w:szCs w:val="18"/>
              </w:rPr>
            </w:sdtEndPr>
            <w:sdtContent>
              <w:p>
                <w:pPr>
                  <w:pStyle w:val="23"/>
                  <w:numPr>
                    <w:ilvl w:val="255"/>
                    <w:numId w:val="0"/>
                  </w:numPr>
                  <w:spacing w:line="200" w:lineRule="exact"/>
                  <w:jc w:val="right"/>
                  <w:rPr>
                    <w:rFonts w:hint="eastAsia" w:ascii="Times New Roman"/>
                    <w:kern w:val="0"/>
                    <w:sz w:val="18"/>
                    <w:szCs w:val="18"/>
                  </w:rPr>
                </w:pPr>
                <w:r>
                  <w:rPr>
                    <w:rFonts w:hint="eastAsia" w:ascii="Times New Roman"/>
                    <w:kern w:val="0"/>
                    <w:sz w:val="18"/>
                    <w:szCs w:val="18"/>
                  </w:rPr>
                  <w:t>72.4445</w:t>
                </w:r>
              </w:p>
            </w:sdtContent>
          </w:sdt>
          <w:p>
            <w:pPr>
              <w:pStyle w:val="23"/>
              <w:numPr>
                <w:ilvl w:val="255"/>
                <w:numId w:val="0"/>
              </w:numPr>
              <w:spacing w:line="200" w:lineRule="exact"/>
              <w:rPr>
                <w:rFonts w:hint="eastAsia"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right"/>
        </w:trPr>
        <w:tc>
          <w:tcPr>
            <w:tcW w:w="7478" w:type="dxa"/>
            <w:vAlign w:val="center"/>
          </w:tcPr>
          <w:p>
            <w:pPr>
              <w:pStyle w:val="23"/>
              <w:numPr>
                <w:ilvl w:val="255"/>
                <w:numId w:val="0"/>
              </w:numPr>
              <w:spacing w:line="200" w:lineRule="exact"/>
              <w:rPr>
                <w:kern w:val="0"/>
                <w:sz w:val="18"/>
                <w:szCs w:val="18"/>
              </w:rPr>
            </w:pPr>
            <w:r>
              <w:rPr>
                <w:rFonts w:hint="eastAsia"/>
                <w:kern w:val="0"/>
                <w:sz w:val="18"/>
                <w:szCs w:val="18"/>
              </w:rPr>
              <w:t>其中：A股</w:t>
            </w:r>
          </w:p>
        </w:tc>
        <w:tc>
          <w:tcPr>
            <w:tcW w:w="1792" w:type="dxa"/>
            <w:vAlign w:val="bottom"/>
          </w:tcPr>
          <w:sdt>
            <w:sdtPr>
              <w:rPr>
                <w:rFonts w:hint="eastAsia" w:ascii="Times New Roman"/>
                <w:kern w:val="0"/>
                <w:sz w:val="18"/>
                <w:szCs w:val="18"/>
              </w:rPr>
              <w:alias w:val="出席会议的A股股东持股占股份总数的比例"/>
              <w:tag w:val="_GBC_7314865abcb54976a69a0bc1ced05a65"/>
              <w:id w:val="1339056"/>
              <w:lock w:val="sdtLocked"/>
            </w:sdtPr>
            <w:sdtEndPr>
              <w:rPr>
                <w:rFonts w:hint="eastAsia" w:ascii="Times New Roman"/>
                <w:kern w:val="0"/>
                <w:sz w:val="18"/>
                <w:szCs w:val="18"/>
              </w:rPr>
            </w:sdtEndPr>
            <w:sdtContent>
              <w:p>
                <w:pPr>
                  <w:pStyle w:val="23"/>
                  <w:numPr>
                    <w:ilvl w:val="255"/>
                    <w:numId w:val="0"/>
                  </w:numPr>
                  <w:spacing w:line="200" w:lineRule="exact"/>
                  <w:jc w:val="right"/>
                  <w:rPr>
                    <w:rFonts w:hint="eastAsia" w:ascii="Times New Roman"/>
                    <w:kern w:val="0"/>
                    <w:sz w:val="18"/>
                    <w:szCs w:val="18"/>
                  </w:rPr>
                </w:pPr>
                <w:r>
                  <w:rPr>
                    <w:rFonts w:hint="eastAsia" w:ascii="Times New Roman"/>
                    <w:kern w:val="0"/>
                    <w:sz w:val="18"/>
                    <w:szCs w:val="18"/>
                  </w:rPr>
                  <w:t>56.6090</w:t>
                </w:r>
              </w:p>
            </w:sdtContent>
          </w:sdt>
          <w:p>
            <w:pPr>
              <w:pStyle w:val="23"/>
              <w:numPr>
                <w:ilvl w:val="255"/>
                <w:numId w:val="0"/>
              </w:numPr>
              <w:spacing w:line="200" w:lineRule="exact"/>
              <w:rPr>
                <w:rFonts w:hint="eastAsia"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right"/>
        </w:trPr>
        <w:tc>
          <w:tcPr>
            <w:tcW w:w="7478" w:type="dxa"/>
            <w:vAlign w:val="center"/>
          </w:tcPr>
          <w:p>
            <w:pPr>
              <w:pStyle w:val="23"/>
              <w:numPr>
                <w:ilvl w:val="255"/>
                <w:numId w:val="0"/>
              </w:numPr>
              <w:spacing w:line="200" w:lineRule="exact"/>
              <w:rPr>
                <w:kern w:val="0"/>
                <w:sz w:val="18"/>
                <w:szCs w:val="18"/>
              </w:rPr>
            </w:pPr>
            <w:r>
              <w:rPr>
                <w:rFonts w:hint="eastAsia"/>
                <w:kern w:val="0"/>
                <w:sz w:val="18"/>
                <w:szCs w:val="18"/>
              </w:rPr>
              <w:t xml:space="preserve">            H股</w:t>
            </w:r>
          </w:p>
        </w:tc>
        <w:tc>
          <w:tcPr>
            <w:tcW w:w="1792" w:type="dxa"/>
            <w:vAlign w:val="bottom"/>
          </w:tcPr>
          <w:sdt>
            <w:sdtPr>
              <w:rPr>
                <w:rFonts w:hint="eastAsia" w:ascii="Times New Roman" w:hAnsi="Times New Roman"/>
                <w:kern w:val="0"/>
                <w:sz w:val="18"/>
                <w:szCs w:val="18"/>
              </w:rPr>
              <w:alias w:val="出席会议的H股股东持股占股份总数的比例"/>
              <w:tag w:val="_GBC_1b41c67d131f4455a34638edc8402b54"/>
              <w:id w:val="1339060"/>
              <w:lock w:val="sdtLocked"/>
            </w:sdtPr>
            <w:sdtEndPr>
              <w:rPr>
                <w:rFonts w:hint="eastAsia" w:ascii="Times New Roman" w:hAnsi="Times New Roman"/>
                <w:kern w:val="0"/>
                <w:sz w:val="18"/>
                <w:szCs w:val="18"/>
              </w:rPr>
            </w:sdtEndPr>
            <w:sdtContent>
              <w:p>
                <w:pPr>
                  <w:pStyle w:val="23"/>
                  <w:numPr>
                    <w:ilvl w:val="255"/>
                    <w:numId w:val="0"/>
                  </w:numPr>
                  <w:spacing w:line="200" w:lineRule="exact"/>
                  <w:jc w:val="right"/>
                  <w:rPr>
                    <w:rFonts w:hint="eastAsia" w:ascii="Times New Roman" w:hAnsi="Times New Roman"/>
                    <w:kern w:val="0"/>
                    <w:sz w:val="18"/>
                    <w:szCs w:val="18"/>
                  </w:rPr>
                </w:pPr>
                <w:r>
                  <w:rPr>
                    <w:rFonts w:hint="eastAsia" w:ascii="Times New Roman" w:hAnsi="Times New Roman"/>
                    <w:kern w:val="0"/>
                    <w:sz w:val="18"/>
                    <w:szCs w:val="18"/>
                  </w:rPr>
                  <w:t>15.8355</w:t>
                </w:r>
              </w:p>
            </w:sdtContent>
          </w:sdt>
          <w:p>
            <w:pPr>
              <w:pStyle w:val="23"/>
              <w:numPr>
                <w:ilvl w:val="255"/>
                <w:numId w:val="0"/>
              </w:numPr>
              <w:spacing w:line="200" w:lineRule="exact"/>
              <w:rPr>
                <w:rFonts w:hint="eastAsia" w:ascii="Times New Roman" w:hAnsi="Times New Roman"/>
                <w:kern w:val="0"/>
                <w:sz w:val="18"/>
                <w:szCs w:val="18"/>
              </w:rPr>
            </w:pPr>
          </w:p>
        </w:tc>
      </w:tr>
    </w:tbl>
    <w:p>
      <w:pPr>
        <w:pStyle w:val="23"/>
        <w:numPr>
          <w:ilvl w:val="255"/>
          <w:numId w:val="0"/>
        </w:numPr>
        <w:spacing w:line="200" w:lineRule="exact"/>
        <w:rPr>
          <w:kern w:val="0"/>
          <w:sz w:val="18"/>
          <w:szCs w:val="18"/>
        </w:rPr>
      </w:pPr>
    </w:p>
    <w:p>
      <w:pPr>
        <w:numPr>
          <w:ilvl w:val="0"/>
          <w:numId w:val="1"/>
        </w:numPr>
        <w:spacing w:after="156" w:afterLines="50" w:line="260" w:lineRule="exact"/>
        <w:rPr>
          <w:kern w:val="0"/>
          <w:sz w:val="18"/>
          <w:szCs w:val="18"/>
        </w:rPr>
      </w:pPr>
      <w:r>
        <w:rPr>
          <w:rFonts w:hint="eastAsia"/>
          <w:kern w:val="0"/>
          <w:sz w:val="18"/>
          <w:szCs w:val="18"/>
        </w:rPr>
        <w:t>於本公告發佈之日，本公司核數師信永中和會計師事務所擔任臨時股東大會點票工作之監票員。</w:t>
      </w:r>
    </w:p>
    <w:p>
      <w:pPr>
        <w:numPr>
          <w:ilvl w:val="0"/>
          <w:numId w:val="1"/>
        </w:numPr>
        <w:spacing w:after="156" w:afterLines="50" w:line="260" w:lineRule="exact"/>
        <w:rPr>
          <w:kern w:val="0"/>
          <w:sz w:val="18"/>
          <w:szCs w:val="18"/>
        </w:rPr>
      </w:pPr>
      <w:r>
        <w:rPr>
          <w:rFonts w:hint="eastAsia"/>
          <w:kern w:val="0"/>
          <w:sz w:val="18"/>
          <w:szCs w:val="18"/>
        </w:rPr>
        <w:t>臨時股東大會經本公司法律顧問北京市嘉源律師事務所見證，並出具法律意見書，認為臨時股東大會的召集、召開程序、投票表決程序、召集人的資格、出席臨時股東大會股東或委任代表的資格符合相關法律法規和公司章程的規定，臨時股東大會表決結果合法有效。</w:t>
      </w:r>
    </w:p>
    <w:p>
      <w:pPr>
        <w:overflowPunct w:val="0"/>
        <w:autoSpaceDE w:val="0"/>
        <w:autoSpaceDN w:val="0"/>
        <w:adjustRightInd w:val="0"/>
        <w:spacing w:line="400" w:lineRule="exact"/>
        <w:ind w:right="40"/>
        <w:rPr>
          <w:rFonts w:eastAsia="PMingLiU"/>
          <w:kern w:val="0"/>
          <w:sz w:val="24"/>
          <w:lang w:eastAsia="zh-TW"/>
        </w:rPr>
      </w:pPr>
    </w:p>
    <w:p>
      <w:pPr>
        <w:spacing w:line="320" w:lineRule="exact"/>
        <w:ind w:firstLine="7680" w:firstLineChars="3200"/>
        <w:rPr>
          <w:kern w:val="0"/>
          <w:sz w:val="24"/>
          <w:lang w:eastAsia="zh-TW"/>
        </w:rPr>
      </w:pPr>
      <w:r>
        <w:rPr>
          <w:rFonts w:hint="eastAsia"/>
          <w:kern w:val="0"/>
          <w:sz w:val="24"/>
          <w:lang w:eastAsia="zh-TW"/>
        </w:rPr>
        <w:t>承董事會命</w:t>
      </w:r>
    </w:p>
    <w:p>
      <w:pPr>
        <w:spacing w:line="320" w:lineRule="exact"/>
        <w:ind w:left="-178" w:leftChars="-85" w:firstLine="7228" w:firstLineChars="3000"/>
        <w:rPr>
          <w:b/>
          <w:kern w:val="0"/>
          <w:sz w:val="24"/>
          <w:lang w:eastAsia="zh-TW"/>
        </w:rPr>
      </w:pPr>
      <w:r>
        <w:rPr>
          <w:rFonts w:hint="eastAsia"/>
          <w:b/>
          <w:kern w:val="0"/>
          <w:sz w:val="24"/>
          <w:lang w:eastAsia="zh-TW"/>
        </w:rPr>
        <w:t>中國外運股份有限公司</w:t>
      </w:r>
    </w:p>
    <w:p>
      <w:pPr>
        <w:spacing w:line="320" w:lineRule="exact"/>
        <w:ind w:firstLine="7800" w:firstLineChars="3250"/>
        <w:rPr>
          <w:i/>
          <w:kern w:val="0"/>
          <w:sz w:val="24"/>
          <w:lang w:eastAsia="zh-TW"/>
        </w:rPr>
      </w:pPr>
      <w:r>
        <w:rPr>
          <w:rFonts w:hint="eastAsia"/>
          <w:i/>
          <w:kern w:val="0"/>
          <w:sz w:val="24"/>
          <w:lang w:eastAsia="zh-TW"/>
        </w:rPr>
        <w:t>公司秘書</w:t>
      </w:r>
    </w:p>
    <w:p>
      <w:pPr>
        <w:spacing w:line="320" w:lineRule="exact"/>
        <w:ind w:firstLine="7951" w:firstLineChars="3300"/>
        <w:rPr>
          <w:b/>
          <w:kern w:val="0"/>
          <w:sz w:val="24"/>
          <w:lang w:eastAsia="zh-TW"/>
        </w:rPr>
      </w:pPr>
      <w:r>
        <w:rPr>
          <w:rFonts w:hint="eastAsia"/>
          <w:b/>
          <w:kern w:val="0"/>
          <w:sz w:val="24"/>
          <w:lang w:eastAsia="zh-TW"/>
        </w:rPr>
        <w:t>李世礎</w:t>
      </w:r>
    </w:p>
    <w:p>
      <w:pPr>
        <w:spacing w:line="280" w:lineRule="exact"/>
        <w:rPr>
          <w:kern w:val="0"/>
          <w:sz w:val="24"/>
          <w:lang w:eastAsia="zh-TW"/>
        </w:rPr>
      </w:pPr>
    </w:p>
    <w:p>
      <w:pPr>
        <w:autoSpaceDE w:val="0"/>
        <w:autoSpaceDN w:val="0"/>
        <w:adjustRightInd w:val="0"/>
        <w:spacing w:after="156" w:afterLines="50" w:line="380" w:lineRule="exact"/>
        <w:rPr>
          <w:kern w:val="0"/>
          <w:sz w:val="24"/>
          <w:lang w:eastAsia="zh-TW"/>
        </w:rPr>
      </w:pPr>
      <w:r>
        <w:rPr>
          <w:rFonts w:hint="eastAsia"/>
          <w:kern w:val="0"/>
          <w:sz w:val="24"/>
          <w:lang w:eastAsia="zh-TW"/>
        </w:rPr>
        <w:t>北京，二零二二年</w:t>
      </w:r>
      <w:r>
        <w:rPr>
          <w:rFonts w:hint="eastAsia"/>
          <w:kern w:val="0"/>
          <w:sz w:val="24"/>
        </w:rPr>
        <w:t>八</w:t>
      </w:r>
      <w:r>
        <w:rPr>
          <w:rFonts w:hint="eastAsia"/>
          <w:kern w:val="0"/>
          <w:sz w:val="24"/>
          <w:lang w:eastAsia="zh-TW"/>
        </w:rPr>
        <w:t>月</w:t>
      </w:r>
      <w:r>
        <w:rPr>
          <w:rFonts w:hint="eastAsia"/>
          <w:kern w:val="0"/>
          <w:sz w:val="24"/>
        </w:rPr>
        <w:t>二</w:t>
      </w:r>
      <w:r>
        <w:rPr>
          <w:rFonts w:hint="eastAsia"/>
          <w:kern w:val="0"/>
          <w:sz w:val="24"/>
          <w:lang w:eastAsia="zh-TW"/>
        </w:rPr>
        <w:t>十</w:t>
      </w:r>
      <w:r>
        <w:rPr>
          <w:rFonts w:hint="eastAsia"/>
          <w:kern w:val="0"/>
          <w:sz w:val="24"/>
        </w:rPr>
        <w:t>三</w:t>
      </w:r>
      <w:r>
        <w:rPr>
          <w:rFonts w:hint="eastAsia"/>
          <w:kern w:val="0"/>
          <w:sz w:val="24"/>
          <w:lang w:eastAsia="zh-TW"/>
        </w:rPr>
        <w:t>日</w:t>
      </w:r>
    </w:p>
    <w:p>
      <w:pPr>
        <w:spacing w:line="340" w:lineRule="exact"/>
        <w:rPr>
          <w:rFonts w:eastAsia="PMingLiU" w:asciiTheme="minorEastAsia" w:hAnsiTheme="minorEastAsia"/>
          <w:i/>
          <w:kern w:val="0"/>
          <w:sz w:val="24"/>
        </w:rPr>
      </w:pPr>
      <w:r>
        <w:rPr>
          <w:rFonts w:hint="eastAsia" w:asciiTheme="minorEastAsia" w:hAnsiTheme="minorEastAsia"/>
          <w:i/>
          <w:kern w:val="0"/>
          <w:sz w:val="24"/>
          <w:lang w:eastAsia="zh-TW"/>
        </w:rPr>
        <w:t>於本公告日期, 本公司董事會成員包括</w:t>
      </w:r>
      <w:r>
        <w:rPr>
          <w:rFonts w:hint="eastAsia" w:asciiTheme="minorEastAsia" w:hAnsiTheme="minorEastAsia"/>
          <w:i/>
          <w:kern w:val="0"/>
          <w:sz w:val="24"/>
        </w:rPr>
        <w:t>馮波鳴（董事長）、</w:t>
      </w:r>
      <w:r>
        <w:rPr>
          <w:rFonts w:hint="eastAsia" w:asciiTheme="minorEastAsia" w:hAnsiTheme="minorEastAsia"/>
          <w:i/>
          <w:kern w:val="0"/>
          <w:sz w:val="24"/>
          <w:lang w:eastAsia="zh-TW"/>
        </w:rPr>
        <w:t>宋德星（副董事長）、宋嶸（執行董事）、</w:t>
      </w:r>
      <w:r>
        <w:rPr>
          <w:rFonts w:hint="eastAsia" w:asciiTheme="minorEastAsia" w:hAnsiTheme="minorEastAsia"/>
          <w:i/>
          <w:kern w:val="0"/>
          <w:sz w:val="24"/>
        </w:rPr>
        <w:t>劉</w:t>
      </w:r>
      <w:r>
        <w:rPr>
          <w:rFonts w:asciiTheme="minorEastAsia" w:hAnsiTheme="minorEastAsia"/>
          <w:i/>
          <w:kern w:val="0"/>
          <w:sz w:val="24"/>
        </w:rPr>
        <w:t>威武（非執行董事）、</w:t>
      </w:r>
      <w:r>
        <w:rPr>
          <w:rFonts w:hint="eastAsia" w:asciiTheme="minorEastAsia" w:hAnsiTheme="minorEastAsia"/>
          <w:i/>
          <w:kern w:val="0"/>
          <w:sz w:val="24"/>
        </w:rPr>
        <w:t>鄧偉棟（非執行董事）、</w:t>
      </w:r>
      <w:r>
        <w:rPr>
          <w:rFonts w:hint="eastAsia" w:asciiTheme="minorEastAsia" w:hAnsiTheme="minorEastAsia"/>
          <w:i/>
          <w:kern w:val="0"/>
          <w:sz w:val="24"/>
          <w:lang w:eastAsia="zh-TW"/>
        </w:rPr>
        <w:t>江艦（非執行董事）、許克威（非執行董事），以及四位獨立非執行董事王泰文、孟焰、宋海清及李倩。</w:t>
      </w:r>
    </w:p>
    <w:p>
      <w:pPr>
        <w:spacing w:line="340" w:lineRule="exact"/>
        <w:rPr>
          <w:rFonts w:eastAsiaTheme="majorEastAsia"/>
        </w:rPr>
      </w:pPr>
    </w:p>
    <w:p>
      <w:pPr>
        <w:widowControl/>
        <w:jc w:val="left"/>
        <w:rPr>
          <w:i/>
          <w:kern w:val="0"/>
          <w:sz w:val="24"/>
          <w:lang w:val="en-GB"/>
        </w:rPr>
      </w:pPr>
    </w:p>
    <w:sectPr>
      <w:pgSz w:w="11906" w:h="16838"/>
      <w:pgMar w:top="1191" w:right="1077" w:bottom="1021" w:left="1077" w:header="851" w:footer="73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imes LT Std">
    <w:altName w:val="Times New Roman"/>
    <w:panose1 w:val="00000000000000000000"/>
    <w:charset w:val="00"/>
    <w:family w:val="auto"/>
    <w:pitch w:val="default"/>
    <w:sig w:usb0="00000000" w:usb1="00000000" w:usb2="00000000" w:usb3="00000000" w:csb0="0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- 1 -</w:t>
    </w:r>
    <w:r>
      <w:rPr>
        <w:rStyle w:val="12"/>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14AEB"/>
    <w:multiLevelType w:val="multilevel"/>
    <w:tmpl w:val="03B14AE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doNotDisplayPageBoundaries w:val="1"/>
  <w:displayBackgroundShape w:val="1"/>
  <w:bordersDoNotSurroundHeader w:val="1"/>
  <w:bordersDoNotSurroundFooter w:val="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1"/>
  <w:documentProtection w:enforcement="0"/>
  <w:defaultTabStop w:val="420"/>
  <w:drawingGridHorizontalSpacing w:val="105"/>
  <w:drawingGridVerticalSpacing w:val="156"/>
  <w:noPunctuationKerning w:val="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Date" w:val="True"/>
    <w:docVar w:name="OfficeIni" w:val="Hong Kong (HH) - ENGLISH.ini"/>
  </w:docVars>
  <w:rsids>
    <w:rsidRoot w:val="00172A27"/>
    <w:rsid w:val="00010892"/>
    <w:rsid w:val="000270A6"/>
    <w:rsid w:val="000340BD"/>
    <w:rsid w:val="00034DDE"/>
    <w:rsid w:val="000366AB"/>
    <w:rsid w:val="0004191E"/>
    <w:rsid w:val="00046EC0"/>
    <w:rsid w:val="0005406F"/>
    <w:rsid w:val="000573D7"/>
    <w:rsid w:val="00092D1F"/>
    <w:rsid w:val="00094640"/>
    <w:rsid w:val="000957C9"/>
    <w:rsid w:val="000958CB"/>
    <w:rsid w:val="0009656D"/>
    <w:rsid w:val="000B4DEF"/>
    <w:rsid w:val="000C6747"/>
    <w:rsid w:val="000D4F28"/>
    <w:rsid w:val="000E619E"/>
    <w:rsid w:val="00100285"/>
    <w:rsid w:val="00105B2F"/>
    <w:rsid w:val="00114441"/>
    <w:rsid w:val="00117F61"/>
    <w:rsid w:val="00120AF2"/>
    <w:rsid w:val="001251CE"/>
    <w:rsid w:val="00144BB1"/>
    <w:rsid w:val="00151592"/>
    <w:rsid w:val="0015535B"/>
    <w:rsid w:val="00172A27"/>
    <w:rsid w:val="001755CA"/>
    <w:rsid w:val="001A06C5"/>
    <w:rsid w:val="001B1096"/>
    <w:rsid w:val="001D5602"/>
    <w:rsid w:val="001F7A37"/>
    <w:rsid w:val="00202398"/>
    <w:rsid w:val="002133DB"/>
    <w:rsid w:val="002206CC"/>
    <w:rsid w:val="00224736"/>
    <w:rsid w:val="002524FF"/>
    <w:rsid w:val="00266364"/>
    <w:rsid w:val="00266CBF"/>
    <w:rsid w:val="00266FFE"/>
    <w:rsid w:val="00272DCF"/>
    <w:rsid w:val="00275169"/>
    <w:rsid w:val="002821F3"/>
    <w:rsid w:val="0029544C"/>
    <w:rsid w:val="002A7EB6"/>
    <w:rsid w:val="002B4F61"/>
    <w:rsid w:val="002C4ABA"/>
    <w:rsid w:val="002E0A66"/>
    <w:rsid w:val="002E0D54"/>
    <w:rsid w:val="002E2A5F"/>
    <w:rsid w:val="002E5815"/>
    <w:rsid w:val="003121BC"/>
    <w:rsid w:val="0031280E"/>
    <w:rsid w:val="0033609C"/>
    <w:rsid w:val="0034020A"/>
    <w:rsid w:val="00353F27"/>
    <w:rsid w:val="00360934"/>
    <w:rsid w:val="00362369"/>
    <w:rsid w:val="00364E29"/>
    <w:rsid w:val="00367F4C"/>
    <w:rsid w:val="00370234"/>
    <w:rsid w:val="00396001"/>
    <w:rsid w:val="003A5B25"/>
    <w:rsid w:val="003B2A6D"/>
    <w:rsid w:val="003B565F"/>
    <w:rsid w:val="003B7C60"/>
    <w:rsid w:val="003D4465"/>
    <w:rsid w:val="003E4662"/>
    <w:rsid w:val="003E6EAD"/>
    <w:rsid w:val="003F3C8F"/>
    <w:rsid w:val="003F5AAE"/>
    <w:rsid w:val="00404145"/>
    <w:rsid w:val="00417271"/>
    <w:rsid w:val="00421177"/>
    <w:rsid w:val="00423892"/>
    <w:rsid w:val="004315BA"/>
    <w:rsid w:val="0043529C"/>
    <w:rsid w:val="00460B83"/>
    <w:rsid w:val="00475E6D"/>
    <w:rsid w:val="00481F99"/>
    <w:rsid w:val="0048748C"/>
    <w:rsid w:val="004955CE"/>
    <w:rsid w:val="0049715E"/>
    <w:rsid w:val="004A2F68"/>
    <w:rsid w:val="004C0A13"/>
    <w:rsid w:val="004D05C4"/>
    <w:rsid w:val="004E152B"/>
    <w:rsid w:val="004E4F60"/>
    <w:rsid w:val="004E6220"/>
    <w:rsid w:val="004F613F"/>
    <w:rsid w:val="0053488F"/>
    <w:rsid w:val="0055769F"/>
    <w:rsid w:val="00564D39"/>
    <w:rsid w:val="00572402"/>
    <w:rsid w:val="00582161"/>
    <w:rsid w:val="0059219C"/>
    <w:rsid w:val="005971FF"/>
    <w:rsid w:val="005C231E"/>
    <w:rsid w:val="005C37B5"/>
    <w:rsid w:val="005D0517"/>
    <w:rsid w:val="005D05FF"/>
    <w:rsid w:val="005D2BA3"/>
    <w:rsid w:val="005D600C"/>
    <w:rsid w:val="005E1606"/>
    <w:rsid w:val="005E6FF8"/>
    <w:rsid w:val="006434E8"/>
    <w:rsid w:val="006615EF"/>
    <w:rsid w:val="00663E18"/>
    <w:rsid w:val="0067503B"/>
    <w:rsid w:val="006769D8"/>
    <w:rsid w:val="006969A4"/>
    <w:rsid w:val="006A20D2"/>
    <w:rsid w:val="006B5445"/>
    <w:rsid w:val="006C2D64"/>
    <w:rsid w:val="006D0D63"/>
    <w:rsid w:val="006D1246"/>
    <w:rsid w:val="006D3AAE"/>
    <w:rsid w:val="006D649D"/>
    <w:rsid w:val="0070286D"/>
    <w:rsid w:val="007041E9"/>
    <w:rsid w:val="00716D69"/>
    <w:rsid w:val="00722D02"/>
    <w:rsid w:val="007375CE"/>
    <w:rsid w:val="0077552F"/>
    <w:rsid w:val="00783B11"/>
    <w:rsid w:val="00787006"/>
    <w:rsid w:val="00790477"/>
    <w:rsid w:val="00790482"/>
    <w:rsid w:val="007A185D"/>
    <w:rsid w:val="007A26C8"/>
    <w:rsid w:val="007A5096"/>
    <w:rsid w:val="007A56AA"/>
    <w:rsid w:val="007A5E1E"/>
    <w:rsid w:val="007B2843"/>
    <w:rsid w:val="007B3994"/>
    <w:rsid w:val="007B403E"/>
    <w:rsid w:val="007B5BC7"/>
    <w:rsid w:val="007C19D5"/>
    <w:rsid w:val="007D1101"/>
    <w:rsid w:val="007F07A6"/>
    <w:rsid w:val="008004AF"/>
    <w:rsid w:val="008043B2"/>
    <w:rsid w:val="00810561"/>
    <w:rsid w:val="0081357F"/>
    <w:rsid w:val="00815B08"/>
    <w:rsid w:val="0081631B"/>
    <w:rsid w:val="00835AC4"/>
    <w:rsid w:val="00842BE2"/>
    <w:rsid w:val="008458D8"/>
    <w:rsid w:val="00850B73"/>
    <w:rsid w:val="00851002"/>
    <w:rsid w:val="008627E0"/>
    <w:rsid w:val="00862F8F"/>
    <w:rsid w:val="00865385"/>
    <w:rsid w:val="00875F1A"/>
    <w:rsid w:val="00876A85"/>
    <w:rsid w:val="008774A0"/>
    <w:rsid w:val="00884091"/>
    <w:rsid w:val="00891D32"/>
    <w:rsid w:val="00895C1B"/>
    <w:rsid w:val="008A32AB"/>
    <w:rsid w:val="008B0165"/>
    <w:rsid w:val="008B5EC4"/>
    <w:rsid w:val="008C30B0"/>
    <w:rsid w:val="008C3640"/>
    <w:rsid w:val="008C522D"/>
    <w:rsid w:val="008D10AC"/>
    <w:rsid w:val="008D3453"/>
    <w:rsid w:val="008E0871"/>
    <w:rsid w:val="008E5B7C"/>
    <w:rsid w:val="008F0995"/>
    <w:rsid w:val="0090176E"/>
    <w:rsid w:val="0096030B"/>
    <w:rsid w:val="00972882"/>
    <w:rsid w:val="009757A0"/>
    <w:rsid w:val="009A0C92"/>
    <w:rsid w:val="009A3772"/>
    <w:rsid w:val="009B1B52"/>
    <w:rsid w:val="009E2A14"/>
    <w:rsid w:val="009E2C80"/>
    <w:rsid w:val="009F20EF"/>
    <w:rsid w:val="00A005F3"/>
    <w:rsid w:val="00A13624"/>
    <w:rsid w:val="00A34CD7"/>
    <w:rsid w:val="00A3630B"/>
    <w:rsid w:val="00A36928"/>
    <w:rsid w:val="00A61CE5"/>
    <w:rsid w:val="00A70C12"/>
    <w:rsid w:val="00A7124E"/>
    <w:rsid w:val="00A736DD"/>
    <w:rsid w:val="00A765CB"/>
    <w:rsid w:val="00A87669"/>
    <w:rsid w:val="00A95457"/>
    <w:rsid w:val="00AB30C6"/>
    <w:rsid w:val="00AB330C"/>
    <w:rsid w:val="00AD36B4"/>
    <w:rsid w:val="00AD4BF3"/>
    <w:rsid w:val="00AE31B7"/>
    <w:rsid w:val="00AF232F"/>
    <w:rsid w:val="00AF31CF"/>
    <w:rsid w:val="00AF615D"/>
    <w:rsid w:val="00B25EEB"/>
    <w:rsid w:val="00B27228"/>
    <w:rsid w:val="00B30110"/>
    <w:rsid w:val="00B3793F"/>
    <w:rsid w:val="00B42F66"/>
    <w:rsid w:val="00B44D5E"/>
    <w:rsid w:val="00B5453B"/>
    <w:rsid w:val="00B54CB2"/>
    <w:rsid w:val="00B576DF"/>
    <w:rsid w:val="00B57984"/>
    <w:rsid w:val="00B65CE6"/>
    <w:rsid w:val="00B67996"/>
    <w:rsid w:val="00B721C6"/>
    <w:rsid w:val="00B7494E"/>
    <w:rsid w:val="00B75267"/>
    <w:rsid w:val="00B82413"/>
    <w:rsid w:val="00B87CDC"/>
    <w:rsid w:val="00B87F77"/>
    <w:rsid w:val="00B96AEF"/>
    <w:rsid w:val="00B9722B"/>
    <w:rsid w:val="00BA3778"/>
    <w:rsid w:val="00BA6E7F"/>
    <w:rsid w:val="00BB0088"/>
    <w:rsid w:val="00BB01E6"/>
    <w:rsid w:val="00BC10F6"/>
    <w:rsid w:val="00BD30DD"/>
    <w:rsid w:val="00BF0080"/>
    <w:rsid w:val="00BF1B08"/>
    <w:rsid w:val="00C0260B"/>
    <w:rsid w:val="00C05ED7"/>
    <w:rsid w:val="00C262BA"/>
    <w:rsid w:val="00C52C4F"/>
    <w:rsid w:val="00C57510"/>
    <w:rsid w:val="00C576BC"/>
    <w:rsid w:val="00C67810"/>
    <w:rsid w:val="00C7197C"/>
    <w:rsid w:val="00C7789D"/>
    <w:rsid w:val="00C81E99"/>
    <w:rsid w:val="00C839BE"/>
    <w:rsid w:val="00C83B55"/>
    <w:rsid w:val="00C83E16"/>
    <w:rsid w:val="00C90A81"/>
    <w:rsid w:val="00C977B2"/>
    <w:rsid w:val="00C97E4D"/>
    <w:rsid w:val="00CB0C02"/>
    <w:rsid w:val="00CB3EC0"/>
    <w:rsid w:val="00CB4930"/>
    <w:rsid w:val="00CB736A"/>
    <w:rsid w:val="00CC3DA6"/>
    <w:rsid w:val="00CD26D3"/>
    <w:rsid w:val="00CD48EF"/>
    <w:rsid w:val="00CD529D"/>
    <w:rsid w:val="00CF12CB"/>
    <w:rsid w:val="00CF4F47"/>
    <w:rsid w:val="00CF76BF"/>
    <w:rsid w:val="00D25E73"/>
    <w:rsid w:val="00D62116"/>
    <w:rsid w:val="00D63D0C"/>
    <w:rsid w:val="00D70AA8"/>
    <w:rsid w:val="00D7105C"/>
    <w:rsid w:val="00D76FD2"/>
    <w:rsid w:val="00D967D3"/>
    <w:rsid w:val="00DC0726"/>
    <w:rsid w:val="00DC11C8"/>
    <w:rsid w:val="00DD0947"/>
    <w:rsid w:val="00DF0499"/>
    <w:rsid w:val="00DF3C12"/>
    <w:rsid w:val="00DF4F47"/>
    <w:rsid w:val="00DF7D30"/>
    <w:rsid w:val="00E03A50"/>
    <w:rsid w:val="00E237F9"/>
    <w:rsid w:val="00E326AB"/>
    <w:rsid w:val="00E32DCA"/>
    <w:rsid w:val="00E3652C"/>
    <w:rsid w:val="00E37A88"/>
    <w:rsid w:val="00E44072"/>
    <w:rsid w:val="00E45FFA"/>
    <w:rsid w:val="00E4718A"/>
    <w:rsid w:val="00E52D21"/>
    <w:rsid w:val="00E75B84"/>
    <w:rsid w:val="00E95728"/>
    <w:rsid w:val="00EA5797"/>
    <w:rsid w:val="00EA5C2A"/>
    <w:rsid w:val="00EA7E4A"/>
    <w:rsid w:val="00EB28D8"/>
    <w:rsid w:val="00EB46EC"/>
    <w:rsid w:val="00EC0065"/>
    <w:rsid w:val="00EC21E8"/>
    <w:rsid w:val="00ED10E4"/>
    <w:rsid w:val="00EE03B3"/>
    <w:rsid w:val="00EE666D"/>
    <w:rsid w:val="00F05F6B"/>
    <w:rsid w:val="00F07CF5"/>
    <w:rsid w:val="00F210BF"/>
    <w:rsid w:val="00F273D4"/>
    <w:rsid w:val="00F447EB"/>
    <w:rsid w:val="00F473C3"/>
    <w:rsid w:val="00F61B24"/>
    <w:rsid w:val="00F65B77"/>
    <w:rsid w:val="00F6688D"/>
    <w:rsid w:val="00F706AF"/>
    <w:rsid w:val="00F8218A"/>
    <w:rsid w:val="00F86380"/>
    <w:rsid w:val="00F8652F"/>
    <w:rsid w:val="00F96FDD"/>
    <w:rsid w:val="00F97B26"/>
    <w:rsid w:val="00FB1511"/>
    <w:rsid w:val="00FC09B6"/>
    <w:rsid w:val="00FC43A8"/>
    <w:rsid w:val="00FC6762"/>
    <w:rsid w:val="00FD7851"/>
    <w:rsid w:val="00FE3BA0"/>
    <w:rsid w:val="00FF5826"/>
    <w:rsid w:val="05826104"/>
    <w:rsid w:val="078E4617"/>
    <w:rsid w:val="118934A9"/>
    <w:rsid w:val="12CA28E4"/>
    <w:rsid w:val="13CB166B"/>
    <w:rsid w:val="18C0409D"/>
    <w:rsid w:val="1A587EBD"/>
    <w:rsid w:val="1FF14E58"/>
    <w:rsid w:val="2231431A"/>
    <w:rsid w:val="25471AF1"/>
    <w:rsid w:val="26C327C9"/>
    <w:rsid w:val="2AC93D4B"/>
    <w:rsid w:val="2E4109D0"/>
    <w:rsid w:val="2EF50B35"/>
    <w:rsid w:val="314A2F46"/>
    <w:rsid w:val="33696C71"/>
    <w:rsid w:val="36A21400"/>
    <w:rsid w:val="37E32F4D"/>
    <w:rsid w:val="3D594112"/>
    <w:rsid w:val="3ED164E8"/>
    <w:rsid w:val="401C0BE2"/>
    <w:rsid w:val="401F30A7"/>
    <w:rsid w:val="417451E4"/>
    <w:rsid w:val="41D570ED"/>
    <w:rsid w:val="42633469"/>
    <w:rsid w:val="44075F6C"/>
    <w:rsid w:val="44586B88"/>
    <w:rsid w:val="4D5D6636"/>
    <w:rsid w:val="58AE7F97"/>
    <w:rsid w:val="5AE008E8"/>
    <w:rsid w:val="5E794133"/>
    <w:rsid w:val="608A33E0"/>
    <w:rsid w:val="6116057C"/>
    <w:rsid w:val="63E67B9E"/>
    <w:rsid w:val="66020287"/>
    <w:rsid w:val="68825161"/>
    <w:rsid w:val="6C510C35"/>
    <w:rsid w:val="6CFC2945"/>
    <w:rsid w:val="714F5633"/>
    <w:rsid w:val="72BB3A6F"/>
    <w:rsid w:val="75EA3688"/>
    <w:rsid w:val="7D304852"/>
    <w:rsid w:val="7FCB7D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spacing w:before="240" w:after="60"/>
      <w:outlineLvl w:val="0"/>
    </w:pPr>
    <w:rPr>
      <w:rFonts w:ascii="Cambria" w:hAnsi="Cambria"/>
      <w:b/>
      <w:bCs/>
      <w:kern w:val="32"/>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qFormat/>
    <w:uiPriority w:val="0"/>
    <w:pPr>
      <w:jc w:val="left"/>
    </w:pPr>
  </w:style>
  <w:style w:type="paragraph" w:styleId="4">
    <w:name w:val="Body Text Indent"/>
    <w:basedOn w:val="1"/>
    <w:qFormat/>
    <w:uiPriority w:val="0"/>
    <w:pPr>
      <w:widowControl/>
      <w:tabs>
        <w:tab w:val="left" w:pos="720"/>
      </w:tabs>
      <w:ind w:left="1440" w:hanging="1440"/>
    </w:pPr>
    <w:rPr>
      <w:kern w:val="0"/>
      <w:sz w:val="24"/>
      <w:szCs w:val="20"/>
      <w:lang w:val="en-GB" w:eastAsia="en-US"/>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tabs>
        <w:tab w:val="center" w:pos="4320"/>
        <w:tab w:val="right" w:pos="8640"/>
      </w:tabs>
    </w:pPr>
  </w:style>
  <w:style w:type="paragraph" w:styleId="8">
    <w:name w:val="annotation subject"/>
    <w:basedOn w:val="3"/>
    <w:next w:val="3"/>
    <w:link w:val="20"/>
    <w:qFormat/>
    <w:uiPriority w:val="0"/>
    <w:rPr>
      <w:b/>
      <w:bCs/>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annotation reference"/>
    <w:basedOn w:val="11"/>
    <w:qFormat/>
    <w:uiPriority w:val="0"/>
    <w:rPr>
      <w:sz w:val="21"/>
      <w:szCs w:val="21"/>
    </w:rPr>
  </w:style>
  <w:style w:type="paragraph" w:customStyle="1" w:styleId="14">
    <w:name w:val="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
    <w:name w:val="Pa0"/>
    <w:basedOn w:val="1"/>
    <w:next w:val="1"/>
    <w:qFormat/>
    <w:uiPriority w:val="0"/>
    <w:pPr>
      <w:autoSpaceDE w:val="0"/>
      <w:autoSpaceDN w:val="0"/>
      <w:adjustRightInd w:val="0"/>
      <w:spacing w:line="241" w:lineRule="atLeast"/>
      <w:jc w:val="left"/>
    </w:pPr>
    <w:rPr>
      <w:rFonts w:ascii="Times LT Std" w:eastAsia="Times LT Std"/>
      <w:kern w:val="0"/>
      <w:sz w:val="24"/>
    </w:rPr>
  </w:style>
  <w:style w:type="paragraph" w:customStyle="1" w:styleId="16">
    <w:name w:val="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18">
    <w:name w:val="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9">
    <w:name w:val="Comment Text Char"/>
    <w:link w:val="3"/>
    <w:qFormat/>
    <w:uiPriority w:val="0"/>
    <w:rPr>
      <w:kern w:val="2"/>
      <w:sz w:val="21"/>
      <w:szCs w:val="24"/>
    </w:rPr>
  </w:style>
  <w:style w:type="character" w:customStyle="1" w:styleId="20">
    <w:name w:val="Comment Subject Char"/>
    <w:link w:val="8"/>
    <w:qFormat/>
    <w:uiPriority w:val="0"/>
    <w:rPr>
      <w:b/>
      <w:bCs/>
      <w:kern w:val="2"/>
      <w:sz w:val="21"/>
      <w:szCs w:val="24"/>
    </w:rPr>
  </w:style>
  <w:style w:type="character" w:customStyle="1" w:styleId="21">
    <w:name w:val="DocID"/>
    <w:qFormat/>
    <w:uiPriority w:val="0"/>
    <w:rPr>
      <w:rFonts w:ascii="Arial" w:hAnsi="Arial" w:eastAsia="Times LT Std" w:cs="Arial"/>
      <w:color w:val="000000"/>
      <w:kern w:val="0"/>
      <w:sz w:val="12"/>
      <w:u w:val="none"/>
    </w:rPr>
  </w:style>
  <w:style w:type="character" w:customStyle="1" w:styleId="22">
    <w:name w:val="Heading 1 Char"/>
    <w:link w:val="2"/>
    <w:qFormat/>
    <w:uiPriority w:val="0"/>
    <w:rPr>
      <w:rFonts w:ascii="Cambria" w:hAnsi="Cambria" w:eastAsia="宋体" w:cs="Times New Roman"/>
      <w:b/>
      <w:bCs/>
      <w:kern w:val="32"/>
      <w:sz w:val="32"/>
      <w:szCs w:val="32"/>
      <w:lang w:val="en-US"/>
    </w:rPr>
  </w:style>
  <w:style w:type="paragraph" w:styleId="23">
    <w:name w:val="List Paragraph"/>
    <w:basedOn w:val="1"/>
    <w:qFormat/>
    <w:uiPriority w:val="34"/>
    <w:pPr>
      <w:ind w:firstLine="420" w:firstLineChars="200"/>
    </w:pPr>
  </w:style>
  <w:style w:type="table" w:customStyle="1" w:styleId="24">
    <w:name w:val="网格型3"/>
    <w:basedOn w:val="9"/>
    <w:qFormat/>
    <w:uiPriority w:val="59"/>
    <w:rPr>
      <w:rFonts w:ascii="Calibri" w:hAnsi="Calibr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242</Words>
  <Characters>1382</Characters>
  <Lines>11</Lines>
  <Paragraphs>3</Paragraphs>
  <TotalTime>0</TotalTime>
  <ScaleCrop>false</ScaleCrop>
  <LinksUpToDate>false</LinksUpToDate>
  <CharactersWithSpaces>1621</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2411-12-31T16:00:00Z</dcterms:created>
  <dcterms:modified xsi:type="dcterms:W3CDTF">2022-08-23T09:29:28Z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D562A913594041718B8C393B050018D3</vt:lpwstr>
  </property>
</Properties>
</file>